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5B" w:rsidRPr="00062208" w:rsidRDefault="00CD655B" w:rsidP="00CD655B">
      <w:pPr>
        <w:jc w:val="center"/>
        <w:rPr>
          <w:b/>
          <w:sz w:val="36"/>
          <w:szCs w:val="36"/>
        </w:rPr>
      </w:pPr>
      <w:bookmarkStart w:id="0" w:name="bookmark1"/>
      <w:r w:rsidRPr="00062208">
        <w:rPr>
          <w:b/>
          <w:sz w:val="36"/>
          <w:szCs w:val="36"/>
        </w:rPr>
        <w:t>РОССИЙСКАЯ ФЕДЕРАЦИЯ</w:t>
      </w:r>
    </w:p>
    <w:p w:rsidR="00CD655B" w:rsidRPr="00062208" w:rsidRDefault="00CD655B" w:rsidP="00CD655B">
      <w:pPr>
        <w:jc w:val="center"/>
        <w:rPr>
          <w:b/>
          <w:sz w:val="36"/>
          <w:szCs w:val="36"/>
        </w:rPr>
      </w:pPr>
      <w:r w:rsidRPr="00062208">
        <w:rPr>
          <w:b/>
          <w:sz w:val="36"/>
          <w:szCs w:val="36"/>
        </w:rPr>
        <w:t>КУРСКАЯ ОБЛАСТЬ МЕДВЕНСКИЙ РАЙОН</w:t>
      </w:r>
    </w:p>
    <w:p w:rsidR="00CD655B" w:rsidRPr="00062208" w:rsidRDefault="00CD655B" w:rsidP="00CD655B">
      <w:pPr>
        <w:jc w:val="center"/>
        <w:rPr>
          <w:b/>
          <w:sz w:val="36"/>
          <w:szCs w:val="36"/>
        </w:rPr>
      </w:pPr>
      <w:r w:rsidRPr="00062208">
        <w:rPr>
          <w:b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>ГОСТОМЛЯНСКОГО</w:t>
      </w:r>
      <w:r w:rsidRPr="00062208">
        <w:rPr>
          <w:b/>
          <w:sz w:val="36"/>
          <w:szCs w:val="36"/>
        </w:rPr>
        <w:t xml:space="preserve"> СЕЛЬСОВЕТА</w:t>
      </w:r>
    </w:p>
    <w:p w:rsidR="00CD655B" w:rsidRPr="00062208" w:rsidRDefault="00CD655B" w:rsidP="00CD655B">
      <w:pPr>
        <w:rPr>
          <w:b/>
          <w:sz w:val="36"/>
          <w:szCs w:val="36"/>
        </w:rPr>
      </w:pPr>
    </w:p>
    <w:p w:rsidR="00CD655B" w:rsidRDefault="00CD655B" w:rsidP="00CD655B">
      <w:pPr>
        <w:jc w:val="center"/>
        <w:rPr>
          <w:b/>
          <w:sz w:val="36"/>
          <w:szCs w:val="36"/>
        </w:rPr>
      </w:pPr>
      <w:r w:rsidRPr="00062208">
        <w:rPr>
          <w:b/>
          <w:sz w:val="36"/>
          <w:szCs w:val="36"/>
        </w:rPr>
        <w:t>ПОСТАНОВЛЕНИЕ</w:t>
      </w:r>
    </w:p>
    <w:p w:rsidR="00CD655B" w:rsidRDefault="00CD655B" w:rsidP="00CD655B">
      <w:pPr>
        <w:rPr>
          <w:sz w:val="28"/>
          <w:szCs w:val="28"/>
        </w:rPr>
      </w:pPr>
    </w:p>
    <w:p w:rsidR="00CD655B" w:rsidRDefault="00CD655B" w:rsidP="00CD65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«09» марта 2021 г.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</w:rPr>
        <w:t>26-па</w:t>
      </w:r>
    </w:p>
    <w:p w:rsidR="00CD655B" w:rsidRDefault="00CD655B" w:rsidP="00CD655B">
      <w:pPr>
        <w:jc w:val="center"/>
        <w:rPr>
          <w:sz w:val="28"/>
          <w:szCs w:val="28"/>
        </w:rPr>
      </w:pPr>
      <w:bookmarkStart w:id="1" w:name="_GoBack"/>
      <w:bookmarkEnd w:id="1"/>
    </w:p>
    <w:p w:rsidR="00CD655B" w:rsidRPr="006F0C59" w:rsidRDefault="00CD655B" w:rsidP="00CD655B">
      <w:pPr>
        <w:ind w:right="3826"/>
      </w:pPr>
    </w:p>
    <w:p w:rsidR="00CD655B" w:rsidRPr="004A11B7" w:rsidRDefault="00CD655B" w:rsidP="00CD655B">
      <w:pPr>
        <w:ind w:right="141"/>
        <w:jc w:val="center"/>
        <w:rPr>
          <w:b/>
          <w:sz w:val="32"/>
          <w:szCs w:val="32"/>
        </w:rPr>
      </w:pPr>
      <w:r w:rsidRPr="004A11B7">
        <w:rPr>
          <w:b/>
          <w:sz w:val="32"/>
          <w:szCs w:val="32"/>
        </w:rPr>
        <w:t>Об утвер</w:t>
      </w:r>
      <w:r>
        <w:rPr>
          <w:b/>
          <w:sz w:val="32"/>
          <w:szCs w:val="32"/>
        </w:rPr>
        <w:t xml:space="preserve">ждении муниципальной </w:t>
      </w:r>
      <w:r w:rsidRPr="004A11B7">
        <w:rPr>
          <w:b/>
          <w:sz w:val="32"/>
          <w:szCs w:val="32"/>
        </w:rPr>
        <w:t>программы</w:t>
      </w:r>
      <w:r w:rsidRPr="004A11B7">
        <w:rPr>
          <w:b/>
          <w:bCs/>
          <w:sz w:val="32"/>
          <w:szCs w:val="32"/>
        </w:rPr>
        <w:t xml:space="preserve"> «Энергосбережение и повышение энергетической эффективности в муниципальном образовании «</w:t>
      </w:r>
      <w:proofErr w:type="spellStart"/>
      <w:r>
        <w:rPr>
          <w:b/>
          <w:bCs/>
          <w:sz w:val="32"/>
          <w:szCs w:val="32"/>
        </w:rPr>
        <w:t>Гостомлянский</w:t>
      </w:r>
      <w:proofErr w:type="spellEnd"/>
      <w:r w:rsidRPr="004A11B7">
        <w:rPr>
          <w:b/>
          <w:bCs/>
          <w:sz w:val="32"/>
          <w:szCs w:val="32"/>
        </w:rPr>
        <w:t xml:space="preserve"> сельсовет» </w:t>
      </w:r>
      <w:proofErr w:type="spellStart"/>
      <w:r w:rsidRPr="004A11B7">
        <w:rPr>
          <w:b/>
          <w:bCs/>
          <w:sz w:val="32"/>
          <w:szCs w:val="32"/>
        </w:rPr>
        <w:t>Медвенского</w:t>
      </w:r>
      <w:proofErr w:type="spellEnd"/>
      <w:r w:rsidRPr="004A11B7">
        <w:rPr>
          <w:b/>
          <w:bCs/>
          <w:sz w:val="32"/>
          <w:szCs w:val="32"/>
        </w:rPr>
        <w:t xml:space="preserve"> района Курской области на период 2021 – 2025 годы»</w:t>
      </w:r>
    </w:p>
    <w:p w:rsidR="00CD655B" w:rsidRPr="004A11B7" w:rsidRDefault="00CD655B" w:rsidP="00CD655B">
      <w:pPr>
        <w:ind w:right="3826"/>
        <w:jc w:val="center"/>
        <w:rPr>
          <w:sz w:val="32"/>
          <w:szCs w:val="32"/>
        </w:rPr>
      </w:pPr>
    </w:p>
    <w:p w:rsidR="00CD655B" w:rsidRPr="006F0C59" w:rsidRDefault="00CD655B" w:rsidP="00CD655B">
      <w:pPr>
        <w:ind w:right="3826"/>
      </w:pPr>
    </w:p>
    <w:p w:rsidR="00CD655B" w:rsidRPr="004A11B7" w:rsidRDefault="00CD655B" w:rsidP="00CD655B">
      <w:pPr>
        <w:shd w:val="clear" w:color="auto" w:fill="FFFFFF"/>
        <w:ind w:firstLine="709"/>
        <w:jc w:val="both"/>
        <w:rPr>
          <w:sz w:val="24"/>
        </w:rPr>
      </w:pPr>
      <w:r w:rsidRPr="004A11B7">
        <w:rPr>
          <w:sz w:val="24"/>
        </w:rPr>
        <w:t>В соответствии с Федеральными законами</w:t>
      </w:r>
      <w:r w:rsidRPr="004A11B7">
        <w:rPr>
          <w:color w:val="000000"/>
          <w:sz w:val="24"/>
        </w:rPr>
        <w:t xml:space="preserve">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4A11B7">
        <w:rPr>
          <w:sz w:val="24"/>
        </w:rPr>
        <w:t xml:space="preserve">,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4A11B7">
        <w:rPr>
          <w:sz w:val="24"/>
        </w:rPr>
        <w:t xml:space="preserve"> сельсовета </w:t>
      </w:r>
      <w:proofErr w:type="spellStart"/>
      <w:r w:rsidRPr="004A11B7">
        <w:rPr>
          <w:sz w:val="24"/>
        </w:rPr>
        <w:t>Медвенского</w:t>
      </w:r>
      <w:proofErr w:type="spellEnd"/>
      <w:r w:rsidRPr="004A11B7">
        <w:rPr>
          <w:sz w:val="24"/>
        </w:rPr>
        <w:t xml:space="preserve"> района Курской области ПОСТАНОВЛЯЕТ:</w:t>
      </w:r>
    </w:p>
    <w:p w:rsidR="00CD655B" w:rsidRPr="004A11B7" w:rsidRDefault="00CD655B" w:rsidP="00CD655B">
      <w:pPr>
        <w:ind w:firstLine="709"/>
        <w:jc w:val="both"/>
        <w:rPr>
          <w:bCs/>
          <w:sz w:val="24"/>
        </w:rPr>
      </w:pPr>
      <w:r w:rsidRPr="004A11B7">
        <w:rPr>
          <w:sz w:val="24"/>
        </w:rPr>
        <w:t>1.Утвердить прилагаемую муниципальную программу «</w:t>
      </w:r>
      <w:r w:rsidRPr="004A11B7">
        <w:rPr>
          <w:bCs/>
          <w:sz w:val="24"/>
        </w:rPr>
        <w:t xml:space="preserve">Энергосбережение и повышение энергетической эффективности в </w:t>
      </w:r>
      <w:proofErr w:type="spellStart"/>
      <w:r>
        <w:rPr>
          <w:bCs/>
          <w:sz w:val="24"/>
        </w:rPr>
        <w:t>Гостомлянском</w:t>
      </w:r>
      <w:proofErr w:type="spellEnd"/>
      <w:r w:rsidRPr="004A11B7">
        <w:rPr>
          <w:bCs/>
          <w:sz w:val="24"/>
        </w:rPr>
        <w:t xml:space="preserve"> сельсовете </w:t>
      </w:r>
      <w:proofErr w:type="spellStart"/>
      <w:r w:rsidRPr="004A11B7">
        <w:rPr>
          <w:bCs/>
          <w:sz w:val="24"/>
        </w:rPr>
        <w:t>Медвенского</w:t>
      </w:r>
      <w:proofErr w:type="spellEnd"/>
      <w:r w:rsidRPr="004A11B7">
        <w:rPr>
          <w:bCs/>
          <w:sz w:val="24"/>
        </w:rPr>
        <w:t xml:space="preserve"> района Курской области на период 2021 – 2025 годы».</w:t>
      </w:r>
    </w:p>
    <w:p w:rsidR="00CD655B" w:rsidRPr="004A11B7" w:rsidRDefault="00CD655B" w:rsidP="00CD655B">
      <w:pPr>
        <w:pStyle w:val="a3"/>
        <w:ind w:firstLine="709"/>
        <w:jc w:val="both"/>
        <w:rPr>
          <w:sz w:val="24"/>
        </w:rPr>
      </w:pPr>
      <w:r w:rsidRPr="004A11B7">
        <w:rPr>
          <w:sz w:val="24"/>
        </w:rPr>
        <w:t xml:space="preserve">2.Установить, что в ходе реализации </w:t>
      </w:r>
      <w:r w:rsidRPr="008B2007">
        <w:rPr>
          <w:bCs/>
          <w:sz w:val="24"/>
        </w:rPr>
        <w:t>м</w:t>
      </w:r>
      <w:r w:rsidRPr="004A11B7">
        <w:rPr>
          <w:sz w:val="24"/>
        </w:rPr>
        <w:t>униципальной программы в 2021-2025</w:t>
      </w:r>
      <w:r w:rsidRPr="004A11B7">
        <w:rPr>
          <w:b/>
          <w:sz w:val="24"/>
        </w:rPr>
        <w:t xml:space="preserve"> </w:t>
      </w:r>
      <w:r w:rsidRPr="004A11B7">
        <w:rPr>
          <w:sz w:val="24"/>
        </w:rPr>
        <w:t>годах ежегодной корректировке подлежат мероприятия и объемы их финансирования с учетом возможностей средств бюджета сельсовета.</w:t>
      </w:r>
    </w:p>
    <w:bookmarkEnd w:id="0"/>
    <w:p w:rsidR="00CD655B" w:rsidRPr="004A11B7" w:rsidRDefault="00CD655B" w:rsidP="00CD655B">
      <w:pPr>
        <w:ind w:firstLine="709"/>
        <w:jc w:val="both"/>
        <w:rPr>
          <w:sz w:val="24"/>
        </w:rPr>
      </w:pPr>
      <w:r w:rsidRPr="004A11B7">
        <w:rPr>
          <w:sz w:val="24"/>
        </w:rPr>
        <w:t>3.</w:t>
      </w:r>
      <w:proofErr w:type="gramStart"/>
      <w:r w:rsidRPr="004A11B7">
        <w:rPr>
          <w:sz w:val="24"/>
        </w:rPr>
        <w:t>Контроль за</w:t>
      </w:r>
      <w:proofErr w:type="gramEnd"/>
      <w:r w:rsidRPr="004A11B7">
        <w:rPr>
          <w:sz w:val="24"/>
        </w:rPr>
        <w:t xml:space="preserve"> выполнением настоящего постановления оставляю за собой.</w:t>
      </w:r>
    </w:p>
    <w:p w:rsidR="00CD655B" w:rsidRPr="004A11B7" w:rsidRDefault="00CD655B" w:rsidP="00CD655B">
      <w:pPr>
        <w:ind w:firstLine="709"/>
        <w:jc w:val="both"/>
        <w:rPr>
          <w:sz w:val="24"/>
        </w:rPr>
      </w:pPr>
      <w:r w:rsidRPr="004A11B7">
        <w:rPr>
          <w:sz w:val="24"/>
        </w:rPr>
        <w:t>4. Настоящее постановление вступает в силу с 01 января 2021 года и подлежит размещению на официальном сайте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4A11B7">
        <w:rPr>
          <w:sz w:val="24"/>
        </w:rPr>
        <w:t xml:space="preserve"> сельсовет» </w:t>
      </w:r>
      <w:proofErr w:type="spellStart"/>
      <w:r w:rsidRPr="004A11B7">
        <w:rPr>
          <w:sz w:val="24"/>
        </w:rPr>
        <w:t>Медвенского</w:t>
      </w:r>
      <w:proofErr w:type="spellEnd"/>
      <w:r w:rsidRPr="004A11B7">
        <w:rPr>
          <w:sz w:val="24"/>
        </w:rPr>
        <w:t xml:space="preserve"> района Курской области в сети «Интернет».</w:t>
      </w:r>
    </w:p>
    <w:p w:rsidR="00CD655B" w:rsidRPr="004A11B7" w:rsidRDefault="00CD655B" w:rsidP="00CD655B">
      <w:pPr>
        <w:rPr>
          <w:sz w:val="24"/>
        </w:rPr>
      </w:pPr>
    </w:p>
    <w:p w:rsidR="00CD655B" w:rsidRPr="004A11B7" w:rsidRDefault="00CD655B" w:rsidP="00CD655B">
      <w:pPr>
        <w:rPr>
          <w:sz w:val="24"/>
        </w:rPr>
      </w:pPr>
    </w:p>
    <w:p w:rsidR="00CD655B" w:rsidRPr="004A11B7" w:rsidRDefault="00CD655B" w:rsidP="00CD655B">
      <w:pPr>
        <w:rPr>
          <w:sz w:val="24"/>
        </w:rPr>
      </w:pPr>
    </w:p>
    <w:p w:rsidR="00CD655B" w:rsidRPr="004A11B7" w:rsidRDefault="00CD655B" w:rsidP="00CD655B">
      <w:pPr>
        <w:rPr>
          <w:sz w:val="24"/>
        </w:rPr>
      </w:pPr>
      <w:r w:rsidRPr="004A11B7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4A11B7">
        <w:rPr>
          <w:sz w:val="24"/>
        </w:rPr>
        <w:t xml:space="preserve"> сельсовета</w:t>
      </w:r>
    </w:p>
    <w:p w:rsidR="00CD655B" w:rsidRPr="004A11B7" w:rsidRDefault="00CD655B" w:rsidP="00CD655B">
      <w:pPr>
        <w:rPr>
          <w:sz w:val="24"/>
        </w:rPr>
      </w:pPr>
      <w:proofErr w:type="spellStart"/>
      <w:r w:rsidRPr="004A11B7">
        <w:rPr>
          <w:sz w:val="24"/>
        </w:rPr>
        <w:t>Медвенского</w:t>
      </w:r>
      <w:proofErr w:type="spellEnd"/>
      <w:r w:rsidRPr="004A11B7">
        <w:rPr>
          <w:sz w:val="24"/>
        </w:rPr>
        <w:t xml:space="preserve"> района     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CD655B" w:rsidRPr="008B2007" w:rsidRDefault="00CD655B" w:rsidP="00CD655B">
      <w:pPr>
        <w:pStyle w:val="ConsPlusNonformat"/>
        <w:widowControl/>
        <w:ind w:left="5103"/>
        <w:jc w:val="right"/>
        <w:rPr>
          <w:rFonts w:ascii="Arial" w:hAnsi="Arial" w:cs="Arial"/>
          <w:bCs/>
          <w:color w:val="000000"/>
        </w:rPr>
      </w:pPr>
      <w:r w:rsidRPr="004A11B7">
        <w:rPr>
          <w:rFonts w:ascii="Times New Roman" w:hAnsi="Times New Roman"/>
          <w:sz w:val="24"/>
          <w:szCs w:val="24"/>
        </w:rPr>
        <w:br w:type="page"/>
      </w:r>
      <w:r w:rsidRPr="008B2007">
        <w:rPr>
          <w:rFonts w:ascii="Arial" w:hAnsi="Arial" w:cs="Arial"/>
          <w:bCs/>
          <w:color w:val="000000"/>
        </w:rPr>
        <w:lastRenderedPageBreak/>
        <w:t xml:space="preserve">Утверждена </w:t>
      </w:r>
    </w:p>
    <w:p w:rsidR="00CD655B" w:rsidRPr="008B2007" w:rsidRDefault="00CD655B" w:rsidP="00CD655B">
      <w:pPr>
        <w:pStyle w:val="ConsPlusNonformat"/>
        <w:widowControl/>
        <w:ind w:left="5103"/>
        <w:jc w:val="right"/>
        <w:rPr>
          <w:rFonts w:ascii="Arial" w:hAnsi="Arial" w:cs="Arial"/>
          <w:bCs/>
          <w:color w:val="000000"/>
        </w:rPr>
      </w:pPr>
      <w:r w:rsidRPr="008B2007">
        <w:rPr>
          <w:rFonts w:ascii="Arial" w:hAnsi="Arial" w:cs="Arial"/>
          <w:bCs/>
          <w:color w:val="000000"/>
        </w:rPr>
        <w:t xml:space="preserve">постановлением Администрации </w:t>
      </w:r>
      <w:proofErr w:type="spellStart"/>
      <w:r w:rsidRPr="008B2007">
        <w:rPr>
          <w:rFonts w:ascii="Arial" w:hAnsi="Arial" w:cs="Arial"/>
          <w:bCs/>
          <w:color w:val="000000"/>
        </w:rPr>
        <w:t>Гостомлянского</w:t>
      </w:r>
      <w:proofErr w:type="spellEnd"/>
      <w:r w:rsidRPr="008B2007">
        <w:rPr>
          <w:rFonts w:ascii="Arial" w:hAnsi="Arial" w:cs="Arial"/>
          <w:bCs/>
          <w:color w:val="000000"/>
        </w:rPr>
        <w:t xml:space="preserve"> сельсовета </w:t>
      </w:r>
    </w:p>
    <w:p w:rsidR="00CD655B" w:rsidRPr="008B2007" w:rsidRDefault="00CD655B" w:rsidP="00CD655B">
      <w:pPr>
        <w:pStyle w:val="ConsPlusNonformat"/>
        <w:widowControl/>
        <w:ind w:left="5103"/>
        <w:jc w:val="right"/>
        <w:rPr>
          <w:rFonts w:ascii="Arial" w:hAnsi="Arial" w:cs="Arial"/>
          <w:bCs/>
          <w:color w:val="000000"/>
        </w:rPr>
      </w:pPr>
      <w:proofErr w:type="spellStart"/>
      <w:r w:rsidRPr="008B2007">
        <w:rPr>
          <w:rFonts w:ascii="Arial" w:hAnsi="Arial" w:cs="Arial"/>
          <w:bCs/>
          <w:color w:val="000000"/>
        </w:rPr>
        <w:t>Медвенского</w:t>
      </w:r>
      <w:proofErr w:type="spellEnd"/>
      <w:r w:rsidRPr="008B2007">
        <w:rPr>
          <w:rFonts w:ascii="Arial" w:hAnsi="Arial" w:cs="Arial"/>
          <w:bCs/>
          <w:color w:val="000000"/>
        </w:rPr>
        <w:t xml:space="preserve"> района</w:t>
      </w:r>
    </w:p>
    <w:p w:rsidR="00CD655B" w:rsidRPr="008B2007" w:rsidRDefault="00CD655B" w:rsidP="00CD655B">
      <w:pPr>
        <w:pStyle w:val="ConsPlusNonformat"/>
        <w:widowControl/>
        <w:ind w:left="5103"/>
        <w:jc w:val="right"/>
        <w:rPr>
          <w:rFonts w:ascii="Arial" w:hAnsi="Arial" w:cs="Arial"/>
          <w:bCs/>
          <w:color w:val="000000"/>
        </w:rPr>
      </w:pPr>
      <w:r w:rsidRPr="008B2007">
        <w:rPr>
          <w:rFonts w:ascii="Arial" w:hAnsi="Arial" w:cs="Arial"/>
          <w:bCs/>
          <w:color w:val="000000"/>
        </w:rPr>
        <w:t xml:space="preserve">от 21.12.2020 г. № 92-па </w:t>
      </w:r>
    </w:p>
    <w:p w:rsidR="00CD655B" w:rsidRDefault="00CD655B" w:rsidP="00CD655B">
      <w:pPr>
        <w:tabs>
          <w:tab w:val="left" w:pos="142"/>
        </w:tabs>
        <w:jc w:val="right"/>
        <w:rPr>
          <w:color w:val="000000"/>
        </w:rPr>
      </w:pPr>
    </w:p>
    <w:p w:rsidR="00CD655B" w:rsidRPr="006F0C59" w:rsidRDefault="00CD655B" w:rsidP="00CD655B">
      <w:pPr>
        <w:tabs>
          <w:tab w:val="left" w:pos="142"/>
        </w:tabs>
        <w:jc w:val="right"/>
        <w:rPr>
          <w:color w:val="000000"/>
        </w:rPr>
      </w:pPr>
    </w:p>
    <w:p w:rsidR="00CD655B" w:rsidRPr="006F0C59" w:rsidRDefault="00CD655B" w:rsidP="00CD655B">
      <w:pPr>
        <w:tabs>
          <w:tab w:val="left" w:pos="142"/>
        </w:tabs>
        <w:jc w:val="center"/>
        <w:rPr>
          <w:b/>
          <w:color w:val="000000"/>
        </w:rPr>
      </w:pPr>
      <w:r w:rsidRPr="006F0C59">
        <w:rPr>
          <w:b/>
          <w:color w:val="000000"/>
        </w:rPr>
        <w:t>ПАСПОРТ</w:t>
      </w:r>
    </w:p>
    <w:p w:rsidR="00CD655B" w:rsidRPr="006F0C59" w:rsidRDefault="00CD655B" w:rsidP="00CD655B">
      <w:pPr>
        <w:tabs>
          <w:tab w:val="left" w:pos="142"/>
        </w:tabs>
        <w:jc w:val="center"/>
        <w:rPr>
          <w:b/>
          <w:color w:val="000000"/>
        </w:rPr>
      </w:pPr>
      <w:r w:rsidRPr="006F0C59">
        <w:rPr>
          <w:b/>
          <w:color w:val="000000"/>
        </w:rPr>
        <w:t>муниципальной программы</w:t>
      </w:r>
    </w:p>
    <w:p w:rsidR="00CD655B" w:rsidRDefault="00CD655B" w:rsidP="00CD655B">
      <w:pPr>
        <w:jc w:val="center"/>
        <w:rPr>
          <w:b/>
        </w:rPr>
      </w:pPr>
      <w:r w:rsidRPr="006F0C59">
        <w:rPr>
          <w:b/>
        </w:rPr>
        <w:t xml:space="preserve">«Энергосбережение и повышение энергетической эффективности </w:t>
      </w:r>
      <w:r w:rsidRPr="00885FCD">
        <w:rPr>
          <w:b/>
        </w:rPr>
        <w:t>в муниципальном образовании «</w:t>
      </w:r>
      <w:proofErr w:type="spellStart"/>
      <w:r>
        <w:rPr>
          <w:b/>
        </w:rPr>
        <w:t>Гостомлянский</w:t>
      </w:r>
      <w:proofErr w:type="spellEnd"/>
      <w:r w:rsidRPr="00885FCD">
        <w:rPr>
          <w:b/>
        </w:rPr>
        <w:t xml:space="preserve"> сельсовет»</w:t>
      </w:r>
      <w:r w:rsidRPr="00E70197">
        <w:t xml:space="preserve"> </w:t>
      </w:r>
      <w:proofErr w:type="spellStart"/>
      <w:r w:rsidRPr="006F0C59">
        <w:rPr>
          <w:b/>
        </w:rPr>
        <w:t>Медвенского</w:t>
      </w:r>
      <w:proofErr w:type="spellEnd"/>
      <w:r w:rsidRPr="006F0C59">
        <w:rPr>
          <w:b/>
        </w:rPr>
        <w:t xml:space="preserve"> района Курской области </w:t>
      </w:r>
    </w:p>
    <w:p w:rsidR="00CD655B" w:rsidRPr="006F0C59" w:rsidRDefault="00CD655B" w:rsidP="00CD655B">
      <w:pPr>
        <w:jc w:val="center"/>
        <w:rPr>
          <w:b/>
        </w:rPr>
      </w:pPr>
      <w:r w:rsidRPr="006F0C59">
        <w:rPr>
          <w:b/>
        </w:rPr>
        <w:t>на 2021 – 2025 годы»</w:t>
      </w:r>
    </w:p>
    <w:p w:rsidR="00CD655B" w:rsidRPr="006F0C59" w:rsidRDefault="00CD655B" w:rsidP="00CD655B">
      <w:pPr>
        <w:jc w:val="center"/>
      </w:pP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6946"/>
      </w:tblGrid>
      <w:tr w:rsidR="00CD655B" w:rsidRPr="006F0C59" w:rsidTr="009E422A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bCs/>
                <w:szCs w:val="20"/>
              </w:rPr>
            </w:pPr>
            <w:r w:rsidRPr="008B2007">
              <w:rPr>
                <w:rFonts w:cs="Arial"/>
                <w:bCs/>
                <w:szCs w:val="20"/>
              </w:rPr>
              <w:t>Наименование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367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 w:rsidRPr="008B2007">
              <w:rPr>
                <w:rFonts w:cs="Arial"/>
                <w:szCs w:val="20"/>
              </w:rPr>
              <w:t>Гостомлянский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сельсовет» </w:t>
            </w:r>
            <w:proofErr w:type="spellStart"/>
            <w:r w:rsidRPr="008B2007">
              <w:rPr>
                <w:rFonts w:cs="Arial"/>
                <w:szCs w:val="20"/>
              </w:rPr>
              <w:t>Медвенского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района Курской области на 2021 - 2025 годы»</w:t>
            </w:r>
          </w:p>
        </w:tc>
      </w:tr>
      <w:tr w:rsidR="00CD655B" w:rsidRPr="006F0C59" w:rsidTr="009E422A">
        <w:trPr>
          <w:trHeight w:val="912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5B" w:rsidRPr="008B2007" w:rsidRDefault="00CD655B" w:rsidP="009E422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Подпрограмма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5B" w:rsidRPr="008B2007" w:rsidRDefault="00CD655B" w:rsidP="009E422A">
            <w:pPr>
              <w:ind w:firstLine="367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«Энергосбережение в муниципальном образовании «</w:t>
            </w:r>
            <w:proofErr w:type="spellStart"/>
            <w:r w:rsidRPr="008B2007">
              <w:rPr>
                <w:rFonts w:cs="Arial"/>
                <w:szCs w:val="20"/>
              </w:rPr>
              <w:t>Гостомлянский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сельсовет» </w:t>
            </w:r>
            <w:proofErr w:type="spellStart"/>
            <w:r w:rsidRPr="008B2007">
              <w:rPr>
                <w:rFonts w:cs="Arial"/>
                <w:szCs w:val="20"/>
              </w:rPr>
              <w:t>Медвенского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района Курской области в 2021-2025</w:t>
            </w:r>
            <w:r w:rsidRPr="008B2007">
              <w:rPr>
                <w:rFonts w:cs="Arial"/>
                <w:b/>
                <w:szCs w:val="20"/>
              </w:rPr>
              <w:t xml:space="preserve"> </w:t>
            </w:r>
            <w:r w:rsidRPr="008B2007">
              <w:rPr>
                <w:rFonts w:cs="Arial"/>
                <w:szCs w:val="20"/>
              </w:rPr>
              <w:t xml:space="preserve">годах» </w:t>
            </w:r>
          </w:p>
        </w:tc>
      </w:tr>
      <w:tr w:rsidR="00CD655B" w:rsidRPr="006F0C59" w:rsidTr="009E422A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bCs/>
                <w:szCs w:val="20"/>
              </w:rPr>
            </w:pPr>
            <w:r w:rsidRPr="008B2007">
              <w:rPr>
                <w:rFonts w:cs="Arial"/>
                <w:bCs/>
                <w:szCs w:val="20"/>
              </w:rPr>
              <w:t>Полное наименование разработчика</w:t>
            </w:r>
          </w:p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bCs/>
                <w:szCs w:val="20"/>
              </w:rPr>
              <w:t>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pStyle w:val="ConsPlusNonformat"/>
              <w:widowControl/>
              <w:ind w:firstLine="459"/>
              <w:jc w:val="both"/>
              <w:rPr>
                <w:rFonts w:ascii="Arial" w:hAnsi="Arial" w:cs="Arial"/>
                <w:bCs/>
                <w:color w:val="000000"/>
              </w:rPr>
            </w:pPr>
            <w:r w:rsidRPr="008B200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B2007">
              <w:rPr>
                <w:rFonts w:ascii="Arial" w:hAnsi="Arial" w:cs="Arial"/>
                <w:bCs/>
                <w:color w:val="000000"/>
              </w:rPr>
              <w:t>Гостомлянского</w:t>
            </w:r>
            <w:proofErr w:type="spellEnd"/>
            <w:r w:rsidRPr="008B2007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8B2007">
              <w:rPr>
                <w:rFonts w:ascii="Arial" w:hAnsi="Arial" w:cs="Arial"/>
                <w:bCs/>
                <w:color w:val="000000"/>
              </w:rPr>
              <w:t>Медвенского</w:t>
            </w:r>
            <w:proofErr w:type="spellEnd"/>
            <w:r w:rsidRPr="008B2007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</w:tr>
      <w:tr w:rsidR="00CD655B" w:rsidRPr="006F0C59" w:rsidTr="009E422A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color w:val="000000"/>
                <w:szCs w:val="20"/>
              </w:rPr>
              <w:t xml:space="preserve">Основание </w:t>
            </w:r>
            <w:proofErr w:type="gramStart"/>
            <w:r w:rsidRPr="008B2007">
              <w:rPr>
                <w:rFonts w:cs="Arial"/>
                <w:color w:val="000000"/>
                <w:szCs w:val="20"/>
              </w:rPr>
              <w:t>для</w:t>
            </w:r>
            <w:proofErr w:type="gramEnd"/>
          </w:p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color w:val="000000"/>
                <w:szCs w:val="20"/>
              </w:rPr>
              <w:t>разработки</w:t>
            </w:r>
            <w:r w:rsidRPr="008B2007">
              <w:rPr>
                <w:rFonts w:cs="Arial"/>
                <w:szCs w:val="20"/>
              </w:rPr>
              <w:t xml:space="preserve">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</w:tc>
      </w:tr>
      <w:tr w:rsidR="00CD655B" w:rsidRPr="006F0C59" w:rsidTr="009E422A">
        <w:trPr>
          <w:trHeight w:val="406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Цели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367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 xml:space="preserve">- улучшение условий и качества жизни населения </w:t>
            </w:r>
            <w:proofErr w:type="spellStart"/>
            <w:r w:rsidRPr="008B2007">
              <w:rPr>
                <w:rFonts w:cs="Arial"/>
                <w:szCs w:val="20"/>
              </w:rPr>
              <w:t>Гостомлянского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сельсовета, переход экономики </w:t>
            </w:r>
            <w:proofErr w:type="spellStart"/>
            <w:r w:rsidRPr="008B2007">
              <w:rPr>
                <w:rFonts w:cs="Arial"/>
                <w:szCs w:val="20"/>
              </w:rPr>
              <w:t>Гостомлянского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</w:t>
            </w:r>
          </w:p>
        </w:tc>
      </w:tr>
      <w:tr w:rsidR="00CD655B" w:rsidRPr="006F0C59" w:rsidTr="009E422A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Задачи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>- 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>- энергосбережение и повышение энергетической эффективности в бюджетных учреждениях поселения;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 xml:space="preserve">- оснащение и осуществление расчетов за потребленные, переданные, производимые энергетические ресурсы с использованием </w:t>
            </w:r>
            <w:r w:rsidRPr="008B2007">
              <w:lastRenderedPageBreak/>
              <w:t>приборов учета;</w:t>
            </w:r>
          </w:p>
          <w:p w:rsidR="00CD655B" w:rsidRPr="008B2007" w:rsidRDefault="00CD655B" w:rsidP="009E422A">
            <w:pPr>
              <w:pStyle w:val="ConsPlusCell"/>
              <w:tabs>
                <w:tab w:val="left" w:pos="317"/>
              </w:tabs>
              <w:ind w:firstLine="367"/>
              <w:jc w:val="both"/>
            </w:pPr>
            <w:r w:rsidRPr="008B2007">
              <w:t>- улучшение экологических показателей среды обитания;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- популяризация энергосбережения среди населения.</w:t>
            </w:r>
          </w:p>
        </w:tc>
      </w:tr>
      <w:tr w:rsidR="00CD655B" w:rsidRPr="006F0C59" w:rsidTr="009E422A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Уровень затрат бюджета муниципального образования «</w:t>
            </w:r>
            <w:proofErr w:type="spellStart"/>
            <w:r w:rsidRPr="008B2007">
              <w:rPr>
                <w:rFonts w:cs="Arial"/>
                <w:szCs w:val="20"/>
              </w:rPr>
              <w:t>Гостомлянский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сельсовет» </w:t>
            </w:r>
            <w:proofErr w:type="spellStart"/>
            <w:r w:rsidRPr="008B2007">
              <w:rPr>
                <w:rFonts w:cs="Arial"/>
                <w:szCs w:val="20"/>
              </w:rPr>
              <w:t>Медвенского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района на оплату коммунальных услуг по сравнению с 2020 годом.</w:t>
            </w:r>
          </w:p>
          <w:p w:rsidR="00CD655B" w:rsidRPr="008B2007" w:rsidRDefault="00CD655B" w:rsidP="009E422A">
            <w:pPr>
              <w:ind w:firstLine="459"/>
              <w:rPr>
                <w:rFonts w:cs="Arial"/>
                <w:szCs w:val="20"/>
              </w:rPr>
            </w:pPr>
          </w:p>
        </w:tc>
      </w:tr>
      <w:tr w:rsidR="00CD655B" w:rsidRPr="006F0C59" w:rsidTr="009E422A">
        <w:trPr>
          <w:trHeight w:val="645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Сроки реализации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color w:val="000000"/>
                <w:szCs w:val="20"/>
              </w:rPr>
              <w:t>2021 – 2025 годы</w:t>
            </w:r>
          </w:p>
        </w:tc>
      </w:tr>
      <w:tr w:rsidR="00CD655B" w:rsidRPr="006F0C59" w:rsidTr="009E422A">
        <w:trPr>
          <w:trHeight w:val="406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Объемы бюджетных ассигнований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Общий объем бюджетных ассигнований на реализацию мероприятий программы составляет 25 000 руб., из них: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 xml:space="preserve">- за счет средств бюджета </w:t>
            </w:r>
            <w:proofErr w:type="spellStart"/>
            <w:r w:rsidRPr="008B2007">
              <w:rPr>
                <w:rFonts w:cs="Arial"/>
                <w:szCs w:val="20"/>
              </w:rPr>
              <w:t>Гостомлянского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сельсовета – 25 000 руб., в том числе по годам: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2021 год – 5 000 руб.;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2022 год – 5 000 руб.;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2023 год – 5 000 руб.;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2024 год – 5 000 руб.;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2025 год – 5 000 руб.;</w:t>
            </w:r>
          </w:p>
          <w:p w:rsidR="00CD655B" w:rsidRPr="008B2007" w:rsidRDefault="00CD655B" w:rsidP="009E422A">
            <w:pPr>
              <w:ind w:firstLine="509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Финансирование мероприятий данной подпрограммы осуществляется за счет средств бюджета муниципального образования «</w:t>
            </w:r>
            <w:proofErr w:type="spellStart"/>
            <w:r w:rsidRPr="008B2007">
              <w:rPr>
                <w:rFonts w:cs="Arial"/>
                <w:szCs w:val="20"/>
              </w:rPr>
              <w:t>Гостомлянский</w:t>
            </w:r>
            <w:proofErr w:type="spellEnd"/>
            <w:r w:rsidRPr="008B2007">
              <w:rPr>
                <w:rFonts w:cs="Arial"/>
                <w:szCs w:val="20"/>
              </w:rPr>
              <w:t xml:space="preserve"> сельсовет» </w:t>
            </w:r>
            <w:proofErr w:type="spellStart"/>
            <w:r w:rsidRPr="008B2007">
              <w:rPr>
                <w:rFonts w:cs="Arial"/>
                <w:szCs w:val="20"/>
              </w:rPr>
              <w:t>Медвенского</w:t>
            </w:r>
            <w:proofErr w:type="spellEnd"/>
            <w:r w:rsidRPr="008B2007">
              <w:rPr>
                <w:rFonts w:cs="Arial"/>
                <w:szCs w:val="20"/>
              </w:rPr>
              <w:t xml:space="preserve"> района Курской области</w:t>
            </w:r>
          </w:p>
        </w:tc>
      </w:tr>
      <w:tr w:rsidR="00CD655B" w:rsidRPr="006F0C59" w:rsidTr="009E422A">
        <w:trPr>
          <w:trHeight w:val="263"/>
          <w:jc w:val="center"/>
        </w:trPr>
        <w:tc>
          <w:tcPr>
            <w:tcW w:w="28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5B" w:rsidRPr="008B2007" w:rsidRDefault="00CD655B" w:rsidP="009E422A">
            <w:pPr>
              <w:ind w:firstLine="367"/>
              <w:rPr>
                <w:rFonts w:cs="Arial"/>
                <w:szCs w:val="20"/>
              </w:rPr>
            </w:pPr>
            <w:proofErr w:type="gramStart"/>
            <w:r w:rsidRPr="008B2007">
              <w:rPr>
                <w:rFonts w:cs="Arial"/>
                <w:szCs w:val="20"/>
              </w:rPr>
              <w:t>- сокращение по отношению к 2020 году доли расходов на коммунальные услуги (уличное освещение) в общих расходах местного бюджета в 2021 году на 3%, в 2022 году – на 5%, в 2023 году на 7%; в 2024 году – 9%; в 2025 году – 11%.</w:t>
            </w:r>
            <w:proofErr w:type="gramEnd"/>
          </w:p>
          <w:p w:rsidR="00CD655B" w:rsidRPr="008B2007" w:rsidRDefault="00CD655B" w:rsidP="009E422A">
            <w:pPr>
              <w:ind w:firstLine="367"/>
              <w:rPr>
                <w:rFonts w:cs="Arial"/>
                <w:szCs w:val="20"/>
              </w:rPr>
            </w:pPr>
            <w:r w:rsidRPr="008B2007">
              <w:rPr>
                <w:rFonts w:cs="Arial"/>
                <w:szCs w:val="20"/>
              </w:rPr>
              <w:t xml:space="preserve">- обеспечение в бюджетной сфере замены ртутных ламп уличного освещения </w:t>
            </w:r>
            <w:proofErr w:type="gramStart"/>
            <w:r w:rsidRPr="008B2007">
              <w:rPr>
                <w:rFonts w:cs="Arial"/>
                <w:szCs w:val="20"/>
              </w:rPr>
              <w:t>на</w:t>
            </w:r>
            <w:proofErr w:type="gramEnd"/>
            <w:r w:rsidRPr="008B2007">
              <w:rPr>
                <w:rFonts w:cs="Arial"/>
                <w:szCs w:val="20"/>
              </w:rPr>
              <w:t xml:space="preserve"> энергосберегающие до 2025 года;</w:t>
            </w:r>
          </w:p>
          <w:p w:rsidR="00CD655B" w:rsidRPr="008B2007" w:rsidRDefault="00CD655B" w:rsidP="009E422A">
            <w:pPr>
              <w:ind w:firstLine="367"/>
              <w:rPr>
                <w:rFonts w:cs="Arial"/>
                <w:color w:val="000000"/>
                <w:szCs w:val="20"/>
              </w:rPr>
            </w:pPr>
            <w:r w:rsidRPr="008B2007">
              <w:rPr>
                <w:rFonts w:cs="Arial"/>
                <w:szCs w:val="20"/>
              </w:rPr>
              <w:t>- улучшение качества жизни населения сельсовета</w:t>
            </w:r>
          </w:p>
        </w:tc>
      </w:tr>
    </w:tbl>
    <w:p w:rsidR="00CD655B" w:rsidRDefault="00CD655B" w:rsidP="00CD655B">
      <w:pPr>
        <w:jc w:val="center"/>
        <w:rPr>
          <w:b/>
        </w:rPr>
      </w:pPr>
      <w:bookmarkStart w:id="2" w:name="_Toc389435490"/>
      <w:bookmarkStart w:id="3" w:name="_Toc362442108"/>
      <w:bookmarkStart w:id="4" w:name="_Toc391368475"/>
    </w:p>
    <w:p w:rsidR="00CD655B" w:rsidRPr="008B2007" w:rsidRDefault="00CD655B" w:rsidP="00CD655B">
      <w:pPr>
        <w:jc w:val="center"/>
        <w:rPr>
          <w:b/>
          <w:sz w:val="24"/>
        </w:rPr>
      </w:pPr>
      <w:r w:rsidRPr="008B2007">
        <w:rPr>
          <w:b/>
          <w:sz w:val="24"/>
        </w:rPr>
        <w:t>Введение</w:t>
      </w:r>
      <w:bookmarkEnd w:id="2"/>
      <w:bookmarkEnd w:id="3"/>
      <w:bookmarkEnd w:id="4"/>
    </w:p>
    <w:p w:rsidR="00CD655B" w:rsidRPr="008B2007" w:rsidRDefault="00CD655B" w:rsidP="00CD655B">
      <w:pPr>
        <w:jc w:val="center"/>
        <w:rPr>
          <w:b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proofErr w:type="gramStart"/>
      <w:r w:rsidRPr="008B2007">
        <w:rPr>
          <w:sz w:val="24"/>
        </w:rPr>
        <w:t xml:space="preserve">Муниципальная программа </w:t>
      </w:r>
      <w:proofErr w:type="spellStart"/>
      <w:r w:rsidRPr="008B2007">
        <w:rPr>
          <w:sz w:val="24"/>
        </w:rPr>
        <w:t>Гостомлянского</w:t>
      </w:r>
      <w:proofErr w:type="spellEnd"/>
      <w:r w:rsidRPr="008B2007">
        <w:rPr>
          <w:sz w:val="24"/>
        </w:rPr>
        <w:t xml:space="preserve"> сельсовета </w:t>
      </w:r>
      <w:proofErr w:type="spellStart"/>
      <w:r w:rsidRPr="008B2007">
        <w:rPr>
          <w:sz w:val="24"/>
        </w:rPr>
        <w:t>Медвенского</w:t>
      </w:r>
      <w:proofErr w:type="spellEnd"/>
      <w:r w:rsidRPr="008B2007">
        <w:rPr>
          <w:sz w:val="24"/>
        </w:rPr>
        <w:t xml:space="preserve"> района </w:t>
      </w:r>
      <w:r w:rsidRPr="008B2007">
        <w:rPr>
          <w:color w:val="000000"/>
          <w:sz w:val="24"/>
        </w:rPr>
        <w:t xml:space="preserve">«Энергосбережение и повышение энергетической эффективности </w:t>
      </w:r>
      <w:r w:rsidRPr="008B2007">
        <w:rPr>
          <w:sz w:val="24"/>
        </w:rPr>
        <w:t>в муниципальном образовании «</w:t>
      </w:r>
      <w:proofErr w:type="spellStart"/>
      <w:r w:rsidRPr="008B2007">
        <w:rPr>
          <w:sz w:val="24"/>
        </w:rPr>
        <w:t>Гостомлянский</w:t>
      </w:r>
      <w:proofErr w:type="spellEnd"/>
      <w:r w:rsidRPr="008B2007">
        <w:rPr>
          <w:sz w:val="24"/>
        </w:rPr>
        <w:t xml:space="preserve"> </w:t>
      </w:r>
      <w:r w:rsidRPr="008B2007">
        <w:rPr>
          <w:rFonts w:cs="Arial"/>
          <w:sz w:val="24"/>
        </w:rPr>
        <w:t xml:space="preserve">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 на 2021 - 2025 годы</w:t>
      </w:r>
      <w:r w:rsidRPr="008B2007">
        <w:rPr>
          <w:rFonts w:cs="Arial"/>
          <w:color w:val="000000"/>
          <w:sz w:val="24"/>
        </w:rPr>
        <w:t xml:space="preserve">» (далее – Программа) </w:t>
      </w:r>
      <w:r w:rsidRPr="008B2007">
        <w:rPr>
          <w:rFonts w:cs="Arial"/>
          <w:sz w:val="24"/>
        </w:rPr>
        <w:t>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 с учетом требований приказа Минэнерго России</w:t>
      </w:r>
      <w:proofErr w:type="gramEnd"/>
      <w:r w:rsidRPr="008B2007">
        <w:rPr>
          <w:rFonts w:cs="Arial"/>
          <w:sz w:val="24"/>
        </w:rPr>
        <w:t xml:space="preserve"> </w:t>
      </w:r>
      <w:proofErr w:type="gramStart"/>
      <w:r w:rsidRPr="008B2007">
        <w:rPr>
          <w:rFonts w:cs="Arial"/>
          <w:sz w:val="24"/>
        </w:rPr>
        <w:t>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Указа Президента Российской Федерации от 04.06.2008 № 889 «О некоторых мерах по повышению энергетической и экологической эффективности российской экономики», постановления Правительства Российской Федерации от 31.12.2009 № 1225 «О</w:t>
      </w:r>
      <w:proofErr w:type="gramEnd"/>
      <w:r w:rsidRPr="008B2007">
        <w:rPr>
          <w:rFonts w:cs="Arial"/>
          <w:sz w:val="24"/>
        </w:rPr>
        <w:t xml:space="preserve"> </w:t>
      </w:r>
      <w:proofErr w:type="gramStart"/>
      <w:r w:rsidRPr="008B2007">
        <w:rPr>
          <w:rFonts w:cs="Arial"/>
          <w:sz w:val="24"/>
        </w:rPr>
        <w:t>требованиях</w:t>
      </w:r>
      <w:proofErr w:type="gramEnd"/>
      <w:r w:rsidRPr="008B2007">
        <w:rPr>
          <w:rFonts w:cs="Arial"/>
          <w:sz w:val="24"/>
        </w:rPr>
        <w:t xml:space="preserve"> к региональным и муниципальным программам в области энергосбережения и повышения энергетической эффективности».</w:t>
      </w:r>
    </w:p>
    <w:p w:rsidR="00CD655B" w:rsidRPr="008B2007" w:rsidRDefault="00CD655B" w:rsidP="00CD655B">
      <w:pPr>
        <w:ind w:firstLine="709"/>
        <w:jc w:val="both"/>
        <w:rPr>
          <w:rFonts w:cs="Arial"/>
          <w:color w:val="000000"/>
          <w:sz w:val="24"/>
        </w:rPr>
      </w:pPr>
      <w:r w:rsidRPr="008B2007">
        <w:rPr>
          <w:rFonts w:cs="Arial"/>
          <w:color w:val="000000"/>
          <w:sz w:val="24"/>
        </w:rPr>
        <w:t xml:space="preserve">Программа устанавливает цель и задачи энергосбережения и повышения энергетической эффективности </w:t>
      </w:r>
      <w:r w:rsidRPr="008B2007">
        <w:rPr>
          <w:rFonts w:cs="Arial"/>
          <w:sz w:val="24"/>
        </w:rPr>
        <w:t>в муниципальном образовании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color w:val="000000"/>
          <w:sz w:val="24"/>
        </w:rPr>
        <w:t>Медвенского</w:t>
      </w:r>
      <w:proofErr w:type="spellEnd"/>
      <w:r w:rsidRPr="008B2007">
        <w:rPr>
          <w:rFonts w:cs="Arial"/>
          <w:color w:val="000000"/>
          <w:sz w:val="24"/>
        </w:rPr>
        <w:t xml:space="preserve"> района, определяет наиболее экономически эффективные мероприятия в области рационального использования энергетических ресурсов, источники и объемы финансирования, исполнителей соответствующих работ, механизм реализации и оценку социально-экономической эффективности Программы.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Программа содержит взаимоувязанный по срокам и финансовым ресурсам </w:t>
      </w:r>
      <w:r w:rsidRPr="008B2007">
        <w:rPr>
          <w:rFonts w:cs="Arial"/>
          <w:sz w:val="24"/>
        </w:rPr>
        <w:lastRenderedPageBreak/>
        <w:t>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CD655B" w:rsidRPr="008B2007" w:rsidRDefault="00CD655B" w:rsidP="00CD655B">
      <w:pPr>
        <w:ind w:firstLine="709"/>
        <w:jc w:val="both"/>
        <w:rPr>
          <w:rFonts w:cs="Arial"/>
          <w:color w:val="000000"/>
          <w:sz w:val="24"/>
        </w:rPr>
      </w:pPr>
      <w:r w:rsidRPr="008B2007">
        <w:rPr>
          <w:rFonts w:cs="Arial"/>
          <w:color w:val="000000"/>
          <w:sz w:val="24"/>
        </w:rPr>
        <w:t xml:space="preserve">Программа является основой для проведения согласованной рациональной, энергетической, экономической и инновационной политики в области энергосбережения и повышения энергетической эффективности на территории </w:t>
      </w:r>
      <w:proofErr w:type="spellStart"/>
      <w:r w:rsidRPr="008B2007">
        <w:rPr>
          <w:rFonts w:cs="Arial"/>
          <w:color w:val="000000"/>
          <w:sz w:val="24"/>
        </w:rPr>
        <w:t>Гостомлянского</w:t>
      </w:r>
      <w:proofErr w:type="spellEnd"/>
      <w:r w:rsidRPr="008B2007">
        <w:rPr>
          <w:rFonts w:cs="Arial"/>
          <w:color w:val="000000"/>
          <w:sz w:val="24"/>
        </w:rPr>
        <w:t xml:space="preserve"> сельсовета </w:t>
      </w:r>
      <w:proofErr w:type="spellStart"/>
      <w:r w:rsidRPr="008B2007">
        <w:rPr>
          <w:rFonts w:cs="Arial"/>
          <w:color w:val="000000"/>
          <w:sz w:val="24"/>
        </w:rPr>
        <w:t>Медвенского</w:t>
      </w:r>
      <w:proofErr w:type="spellEnd"/>
      <w:r w:rsidRPr="008B2007">
        <w:rPr>
          <w:rFonts w:cs="Arial"/>
          <w:color w:val="000000"/>
          <w:sz w:val="24"/>
        </w:rPr>
        <w:t xml:space="preserve"> района на период с 2021 по 2025 год.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1. Содержание проблемы и обоснование необходимости её решения программными методами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Высокая энергоемкость предприятий в этих условиях может стать причиной </w:t>
      </w:r>
      <w:proofErr w:type="gramStart"/>
      <w:r w:rsidRPr="008B2007">
        <w:rPr>
          <w:rFonts w:cs="Arial"/>
          <w:sz w:val="24"/>
        </w:rPr>
        <w:t>снижения темпов роста экономики муниципального образования</w:t>
      </w:r>
      <w:proofErr w:type="gramEnd"/>
      <w:r w:rsidRPr="008B2007">
        <w:rPr>
          <w:rFonts w:cs="Arial"/>
          <w:sz w:val="24"/>
        </w:rPr>
        <w:t xml:space="preserve"> и налоговых поступлений в бюджет.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2. Цели, задачи и показатели (индикаторы) достижения целей и решения задач, сроки и этапы реализации муниципальной программы</w:t>
      </w:r>
    </w:p>
    <w:p w:rsidR="00CD655B" w:rsidRPr="008B2007" w:rsidRDefault="00CD655B" w:rsidP="00CD655B">
      <w:pPr>
        <w:jc w:val="center"/>
        <w:rPr>
          <w:rFonts w:cs="Arial"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2.1. Цели и задачи муниципальной программы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Основной целью Программы является: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улучшение условий и качества жизни населения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сельсовета, переход экономики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 Для достижения поставленных целей в ходе реализации Программы </w:t>
      </w:r>
      <w:r w:rsidRPr="008B2007">
        <w:rPr>
          <w:rFonts w:cs="Arial"/>
          <w:sz w:val="24"/>
        </w:rPr>
        <w:lastRenderedPageBreak/>
        <w:t>необходимо решить следующие задачи: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реализация требований федерального законодательства об энергосбережении и повышении энергетической эффективности, в том числе: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 xml:space="preserve">- создание условий для повышения эффективности производства, передачи и потребления энергетических ресурсов; 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энергосбережение и повышение энергетической эффективности в бюджетных учреждениях поселения;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энергосбережение и повышение энергетической эффективности в жилом фонде, а также зданиях, строениях и сооружениях;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энергосбережение и повышение энергетической эффективности в муниципальных унитарных предприятиях коммунальной сферы;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CD655B" w:rsidRPr="008B2007" w:rsidRDefault="00CD655B" w:rsidP="00CD655B">
      <w:pPr>
        <w:pStyle w:val="ConsPlusCell"/>
        <w:tabs>
          <w:tab w:val="left" w:pos="317"/>
        </w:tabs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улучшение экологических показателей среды обитания;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популяризация энергосбережения среди населения.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2.2. Сроки и этапы реализации муниципальной программы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Муниципальная программа будет реализовываться в период 2021-2025 годов в 1 этап.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2.3. Сведения о показателях (индикаторах) достижения целей и решения задач муниципальной программы</w:t>
      </w:r>
    </w:p>
    <w:p w:rsidR="00CD655B" w:rsidRPr="008B2007" w:rsidRDefault="00CD655B" w:rsidP="00CD655B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8B2007">
        <w:rPr>
          <w:rFonts w:ascii="Arial" w:hAnsi="Arial" w:cs="Arial"/>
          <w:sz w:val="24"/>
          <w:szCs w:val="24"/>
        </w:rPr>
        <w:t>Целевыми индикаторами - показателями муниципальной программы являются:</w:t>
      </w:r>
    </w:p>
    <w:p w:rsidR="00CD655B" w:rsidRPr="008B2007" w:rsidRDefault="00CD655B" w:rsidP="00CD655B">
      <w:pPr>
        <w:ind w:firstLine="851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Уровень затрат бюджета муниципального образования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на оплату коммунальных услуг по сравнению с 2020 годом.</w:t>
      </w:r>
    </w:p>
    <w:p w:rsidR="00CD655B" w:rsidRPr="008B2007" w:rsidRDefault="00CD655B" w:rsidP="00CD655B">
      <w:pPr>
        <w:ind w:firstLine="851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Одним из приоритетных направлений энергосбережения и повышения энергетической эффективности в муниципальном образовании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D655B" w:rsidRPr="008B2007" w:rsidRDefault="00CD655B" w:rsidP="00CD655B">
      <w:pPr>
        <w:pStyle w:val="a3"/>
        <w:spacing w:after="0"/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Основными мероприятиями по энергосбережению и повышению энергетической эффективности должны быть:</w:t>
      </w:r>
    </w:p>
    <w:p w:rsidR="00CD655B" w:rsidRPr="008B2007" w:rsidRDefault="00CD655B" w:rsidP="00CD655B">
      <w:pPr>
        <w:pStyle w:val="a7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B2007">
        <w:rPr>
          <w:rFonts w:ascii="Arial" w:hAnsi="Arial" w:cs="Arial"/>
          <w:sz w:val="24"/>
          <w:szCs w:val="24"/>
        </w:rPr>
        <w:t>- 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CD655B" w:rsidRPr="008B2007" w:rsidRDefault="00CD655B" w:rsidP="00CD655B">
      <w:pPr>
        <w:pStyle w:val="a7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B2007">
        <w:rPr>
          <w:rFonts w:ascii="Arial" w:hAnsi="Arial" w:cs="Arial"/>
          <w:sz w:val="24"/>
          <w:szCs w:val="24"/>
        </w:rPr>
        <w:t xml:space="preserve">- завершение замены ламп накаливания на </w:t>
      </w:r>
      <w:proofErr w:type="spellStart"/>
      <w:r w:rsidRPr="008B2007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8B2007">
        <w:rPr>
          <w:rFonts w:ascii="Arial" w:hAnsi="Arial" w:cs="Arial"/>
          <w:sz w:val="24"/>
          <w:szCs w:val="24"/>
        </w:rPr>
        <w:t>, в том числе не менее 30 % от объема на основе светодиодов, в муниципальном образовании.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Общие мероприятия, характеризующие ход  реализации Программы представлены в Приложении 2. 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Общий объем бюджетных ассигнований на реализацию мероприятий программы составляет 25 000 руб., из них: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за счет средств бюджета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 – 25 000 руб., в том числе по годам: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2021 год – 5 000 руб.;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2022 год – 5 000 руб.;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lastRenderedPageBreak/>
        <w:t>2023 год – 5 000 руб.;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2024 год – 5 000 руб.;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2025 год – 5 000 руб.;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4.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 муниципальной программы)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Выполнение муниципальных заданий в рамках программы не предусмотрено.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6.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В результате реализации Программы ожидается:</w:t>
      </w:r>
    </w:p>
    <w:p w:rsidR="00CD655B" w:rsidRPr="008B2007" w:rsidRDefault="00CD655B" w:rsidP="00CD655B">
      <w:pPr>
        <w:ind w:firstLine="851"/>
        <w:jc w:val="both"/>
        <w:rPr>
          <w:rFonts w:cs="Arial"/>
          <w:sz w:val="24"/>
        </w:rPr>
      </w:pPr>
      <w:proofErr w:type="gramStart"/>
      <w:r w:rsidRPr="008B2007">
        <w:rPr>
          <w:rFonts w:cs="Arial"/>
          <w:sz w:val="24"/>
        </w:rPr>
        <w:t>- сокращение по отношению к 2020 году доли расходов на коммунальные услуги (уличное освещение) в общих расходах местного бюджета в 2021 году на 3%, в 2022 году – на 5%, в 2023 году на 7%; в 2024 году – 9%; в 2025 году – 11%.</w:t>
      </w:r>
      <w:proofErr w:type="gramEnd"/>
    </w:p>
    <w:p w:rsidR="00CD655B" w:rsidRPr="008B2007" w:rsidRDefault="00CD655B" w:rsidP="00CD655B">
      <w:pPr>
        <w:ind w:firstLine="851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обеспечение в бюджетной сфере замены ртутных ламп уличного освещения </w:t>
      </w:r>
      <w:proofErr w:type="gramStart"/>
      <w:r w:rsidRPr="008B2007">
        <w:rPr>
          <w:rFonts w:cs="Arial"/>
          <w:sz w:val="24"/>
        </w:rPr>
        <w:t>на</w:t>
      </w:r>
      <w:proofErr w:type="gramEnd"/>
      <w:r w:rsidRPr="008B2007">
        <w:rPr>
          <w:rFonts w:cs="Arial"/>
          <w:sz w:val="24"/>
        </w:rPr>
        <w:t xml:space="preserve"> энергосберегающие до 2025 года;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улучшение качества жизни населения сельсовета</w:t>
      </w:r>
    </w:p>
    <w:p w:rsidR="00CD655B" w:rsidRPr="008B2007" w:rsidRDefault="00CD655B" w:rsidP="00CD655B">
      <w:pPr>
        <w:jc w:val="both"/>
        <w:rPr>
          <w:rFonts w:cs="Arial"/>
          <w:b/>
          <w:bCs/>
          <w:sz w:val="24"/>
        </w:rPr>
      </w:pPr>
    </w:p>
    <w:p w:rsidR="00CD655B" w:rsidRPr="008B2007" w:rsidRDefault="00CD655B" w:rsidP="00CD655B">
      <w:pPr>
        <w:jc w:val="both"/>
        <w:rPr>
          <w:rFonts w:cs="Arial"/>
          <w:b/>
          <w:bCs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7. Методика оценки эффективности муниципальной программы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области: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1. Обеспечение потребностей населения и экономики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 в энергетических ресурсах: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2. Развитие и повышение эффективности функционирования топливно-энергетического комплекса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области: </w:t>
      </w:r>
    </w:p>
    <w:p w:rsidR="00CD655B" w:rsidRPr="008B2007" w:rsidRDefault="00CD655B" w:rsidP="00CD655B">
      <w:pPr>
        <w:pStyle w:val="ConsPlusNormal"/>
        <w:widowControl/>
        <w:ind w:left="709" w:firstLine="0"/>
        <w:jc w:val="both"/>
        <w:rPr>
          <w:sz w:val="24"/>
          <w:szCs w:val="24"/>
        </w:rPr>
      </w:pPr>
      <w:r w:rsidRPr="008B2007">
        <w:rPr>
          <w:sz w:val="24"/>
          <w:szCs w:val="24"/>
        </w:rPr>
        <w:t xml:space="preserve">- сокращение потерь электрической и тепловой энергии в сетях; 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lastRenderedPageBreak/>
        <w:t>- обеспечение устойчивой работы и безопасности топливно-энергетического комплекса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области;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применение возобновляемых источников энергии и альтернативных видов топлива.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сокращение затрат на оплату энергетических ресурсов в бюджетной сфере за счет реализации энергосберегающих мероприятий на 11 % к 2025 году;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 xml:space="preserve">4. Создание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развития нормативной правовой и методической базы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 в области энергосбережения и повышения энергетической эффективности;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- проведения разъяснительных работ с населением, направленных на стимулирование энергосберегающего поведения;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 xml:space="preserve">- развитие рынка </w:t>
      </w:r>
      <w:proofErr w:type="spellStart"/>
      <w:r w:rsidRPr="008B2007">
        <w:rPr>
          <w:sz w:val="24"/>
          <w:szCs w:val="24"/>
        </w:rPr>
        <w:t>энергосервисных</w:t>
      </w:r>
      <w:proofErr w:type="spellEnd"/>
      <w:r w:rsidRPr="008B2007">
        <w:rPr>
          <w:sz w:val="24"/>
          <w:szCs w:val="24"/>
        </w:rPr>
        <w:t xml:space="preserve"> услуг.</w:t>
      </w:r>
    </w:p>
    <w:p w:rsidR="00CD655B" w:rsidRPr="008B2007" w:rsidRDefault="00CD655B" w:rsidP="00CD65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007">
        <w:rPr>
          <w:sz w:val="24"/>
          <w:szCs w:val="24"/>
        </w:rPr>
        <w:t>Реализация Программы также обеспечит создание механизма высвобождения дополнительных финансовых сре</w:t>
      </w:r>
      <w:proofErr w:type="gramStart"/>
      <w:r w:rsidRPr="008B2007">
        <w:rPr>
          <w:sz w:val="24"/>
          <w:szCs w:val="24"/>
        </w:rPr>
        <w:t>дств дл</w:t>
      </w:r>
      <w:proofErr w:type="gramEnd"/>
      <w:r w:rsidRPr="008B2007">
        <w:rPr>
          <w:sz w:val="24"/>
          <w:szCs w:val="24"/>
        </w:rPr>
        <w:t xml:space="preserve">я выполнения необходимых </w:t>
      </w:r>
      <w:proofErr w:type="spellStart"/>
      <w:r w:rsidRPr="008B2007">
        <w:rPr>
          <w:sz w:val="24"/>
          <w:szCs w:val="24"/>
        </w:rPr>
        <w:t>энергоэффективных</w:t>
      </w:r>
      <w:proofErr w:type="spellEnd"/>
      <w:r w:rsidRPr="008B2007">
        <w:rPr>
          <w:sz w:val="24"/>
          <w:szCs w:val="24"/>
        </w:rPr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CD655B" w:rsidRPr="008B2007" w:rsidRDefault="00CD655B" w:rsidP="00CD655B">
      <w:pPr>
        <w:ind w:firstLine="709"/>
        <w:jc w:val="both"/>
        <w:rPr>
          <w:rFonts w:eastAsia="Calibri" w:cs="Arial"/>
          <w:sz w:val="24"/>
        </w:rPr>
      </w:pPr>
      <w:r w:rsidRPr="008B2007">
        <w:rPr>
          <w:rFonts w:eastAsia="Calibri" w:cs="Arial"/>
          <w:sz w:val="24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8B2007">
        <w:rPr>
          <w:rFonts w:eastAsia="Calibri" w:cs="Arial"/>
          <w:sz w:val="24"/>
        </w:rPr>
        <w:t>рекультивационных</w:t>
      </w:r>
      <w:proofErr w:type="spellEnd"/>
      <w:r w:rsidRPr="008B2007">
        <w:rPr>
          <w:rFonts w:eastAsia="Calibri" w:cs="Arial"/>
          <w:sz w:val="24"/>
        </w:rPr>
        <w:t xml:space="preserve"> работ. </w:t>
      </w:r>
    </w:p>
    <w:p w:rsidR="00CD655B" w:rsidRPr="008B2007" w:rsidRDefault="00CD655B" w:rsidP="00CD655B">
      <w:pPr>
        <w:ind w:firstLine="709"/>
        <w:jc w:val="both"/>
        <w:rPr>
          <w:rFonts w:eastAsia="Calibri" w:cs="Arial"/>
          <w:sz w:val="24"/>
        </w:rPr>
      </w:pPr>
      <w:r w:rsidRPr="008B2007">
        <w:rPr>
          <w:rFonts w:cs="Arial"/>
          <w:sz w:val="24"/>
        </w:rPr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:rsidR="00CD655B" w:rsidRPr="00C62D9C" w:rsidRDefault="00CD655B" w:rsidP="00CD655B">
      <w:pPr>
        <w:jc w:val="center"/>
      </w:pPr>
      <w:r>
        <w:br w:type="page"/>
      </w:r>
      <w:r w:rsidRPr="00C62D9C">
        <w:rPr>
          <w:b/>
          <w:bCs/>
        </w:rPr>
        <w:lastRenderedPageBreak/>
        <w:t>ПАСПОРТ</w:t>
      </w:r>
    </w:p>
    <w:p w:rsidR="00CD655B" w:rsidRPr="00C62D9C" w:rsidRDefault="00CD655B" w:rsidP="00CD655B">
      <w:pPr>
        <w:jc w:val="center"/>
      </w:pPr>
      <w:r w:rsidRPr="00C62D9C">
        <w:rPr>
          <w:b/>
          <w:bCs/>
        </w:rPr>
        <w:t>подпрограммы «</w:t>
      </w:r>
      <w:r w:rsidRPr="0062680C">
        <w:rPr>
          <w:b/>
        </w:rPr>
        <w:t>Энергосбережение в муниципальном образовании «</w:t>
      </w:r>
      <w:proofErr w:type="spellStart"/>
      <w:r>
        <w:rPr>
          <w:b/>
        </w:rPr>
        <w:t>Гостомлянский</w:t>
      </w:r>
      <w:proofErr w:type="spellEnd"/>
      <w:r w:rsidRPr="0062680C">
        <w:rPr>
          <w:b/>
        </w:rPr>
        <w:t xml:space="preserve"> сельсовет» </w:t>
      </w:r>
      <w:proofErr w:type="spellStart"/>
      <w:r w:rsidRPr="0062680C">
        <w:rPr>
          <w:b/>
        </w:rPr>
        <w:t>Медвенского</w:t>
      </w:r>
      <w:proofErr w:type="spellEnd"/>
      <w:r w:rsidRPr="0062680C">
        <w:rPr>
          <w:b/>
        </w:rPr>
        <w:t xml:space="preserve"> района Курской области в 2021-2025 годах</w:t>
      </w:r>
      <w:r w:rsidRPr="0062680C">
        <w:rPr>
          <w:b/>
          <w:bCs/>
        </w:rPr>
        <w:t>»</w:t>
      </w:r>
      <w:r w:rsidRPr="00C62D9C">
        <w:rPr>
          <w:b/>
          <w:bCs/>
        </w:rPr>
        <w:t xml:space="preserve"> муниципальной программы «Энергосбережение и повышение энергетической эффективности в </w:t>
      </w:r>
      <w:r>
        <w:rPr>
          <w:b/>
        </w:rPr>
        <w:t>муниципальном образовании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 w:rsidRPr="00C62D9C">
        <w:rPr>
          <w:b/>
        </w:rPr>
        <w:t>Медвенского</w:t>
      </w:r>
      <w:proofErr w:type="spellEnd"/>
      <w:r w:rsidRPr="00C62D9C">
        <w:rPr>
          <w:b/>
        </w:rPr>
        <w:t xml:space="preserve"> района</w:t>
      </w:r>
      <w:r w:rsidRPr="00C62D9C">
        <w:rPr>
          <w:b/>
          <w:bCs/>
        </w:rPr>
        <w:t xml:space="preserve"> Курской области на 2021 -2025 годы»</w:t>
      </w:r>
    </w:p>
    <w:p w:rsidR="00CD655B" w:rsidRDefault="00CD655B" w:rsidP="00CD655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Ответственный исполнитель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132B51" w:rsidRDefault="00CD655B" w:rsidP="009E422A">
            <w:pPr>
              <w:ind w:firstLine="176"/>
            </w:pPr>
            <w:r w:rsidRPr="00132B51">
              <w:t xml:space="preserve">Администрация </w:t>
            </w:r>
            <w:proofErr w:type="spellStart"/>
            <w:r>
              <w:t>Гостомлянского</w:t>
            </w:r>
            <w:proofErr w:type="spellEnd"/>
            <w:r w:rsidRPr="00132B51">
              <w:t xml:space="preserve"> сельсовета </w:t>
            </w:r>
            <w:proofErr w:type="spellStart"/>
            <w:r w:rsidRPr="00132B51">
              <w:t>Медвенского</w:t>
            </w:r>
            <w:proofErr w:type="spellEnd"/>
            <w:r w:rsidRPr="00132B51">
              <w:t xml:space="preserve"> района Курской области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Участники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132B51" w:rsidRDefault="00CD655B" w:rsidP="009E422A">
            <w:pPr>
              <w:ind w:firstLine="176"/>
            </w:pPr>
            <w:r w:rsidRPr="00132B51">
              <w:t>нет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Программно-целевые инструменты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132B51" w:rsidRDefault="00CD655B" w:rsidP="009E422A">
            <w:pPr>
              <w:ind w:firstLine="176"/>
            </w:pPr>
            <w:r w:rsidRPr="00132B51">
              <w:t>отсутствуют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Цели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Default="00CD655B" w:rsidP="009E422A">
            <w:pPr>
              <w:ind w:left="132" w:right="141" w:firstLine="176"/>
            </w:pPr>
            <w:r>
              <w:t>- у</w:t>
            </w:r>
            <w:r w:rsidRPr="00FC5E2E">
              <w:t>лучшение условий и качества жизни населени</w:t>
            </w:r>
            <w:r>
              <w:t xml:space="preserve">я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  <w:r w:rsidRPr="00FC5E2E">
              <w:t>, переход экономики</w:t>
            </w:r>
            <w:r>
              <w:t xml:space="preserve">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  <w:r w:rsidRPr="00FC5E2E">
              <w:t xml:space="preserve">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  <w:r w:rsidRPr="00132B51">
              <w:t xml:space="preserve"> </w:t>
            </w:r>
          </w:p>
          <w:p w:rsidR="00CD655B" w:rsidRPr="00132B51" w:rsidRDefault="00CD655B" w:rsidP="009E422A">
            <w:pPr>
              <w:ind w:right="141" w:firstLine="176"/>
            </w:pP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Задачи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132B51" w:rsidRDefault="00CD655B" w:rsidP="009E422A">
            <w:pPr>
              <w:ind w:left="132" w:right="141" w:firstLine="425"/>
            </w:pPr>
            <w:r w:rsidRPr="00132B51">
              <w:t>- реализация организационных мероприятий по энергосбережению и повышени</w:t>
            </w:r>
            <w:r>
              <w:t>ю энергетической эффективности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Целевые индикаторы и показатели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Default="00CD655B" w:rsidP="009E422A">
            <w:pPr>
              <w:ind w:left="132" w:right="141" w:firstLine="425"/>
            </w:pPr>
            <w:r w:rsidRPr="00A2072F">
              <w:t>- снижение потребления электрической энер</w:t>
            </w:r>
            <w:r>
              <w:t xml:space="preserve">гии в муниципальном образовании, % (Замена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</w:t>
            </w:r>
            <w:proofErr w:type="spellStart"/>
            <w:r>
              <w:t>т.ч</w:t>
            </w:r>
            <w:proofErr w:type="spellEnd"/>
            <w:r>
              <w:t>. светодиодные);</w:t>
            </w:r>
          </w:p>
          <w:p w:rsidR="00CD655B" w:rsidRPr="00132B51" w:rsidRDefault="00CD655B" w:rsidP="009E422A">
            <w:pPr>
              <w:ind w:left="132" w:right="141" w:firstLine="425"/>
            </w:pPr>
            <w:r>
              <w:t>- улучшение качества жизни населения сельсовета.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Этапы и сроки реализации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132B51" w:rsidRDefault="00CD655B" w:rsidP="009E422A">
            <w:pPr>
              <w:ind w:firstLine="317"/>
            </w:pPr>
            <w:r w:rsidRPr="00132B51">
              <w:t>20</w:t>
            </w:r>
            <w:r>
              <w:t>21</w:t>
            </w:r>
            <w:r w:rsidRPr="00132B51">
              <w:t xml:space="preserve"> - 202</w:t>
            </w:r>
            <w:r>
              <w:t>5</w:t>
            </w:r>
            <w:r w:rsidRPr="00132B51">
              <w:t xml:space="preserve"> годы в один этап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Объемы бюджетных ассигнований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8234E5" w:rsidRDefault="00CD655B" w:rsidP="009E422A">
            <w:pPr>
              <w:ind w:firstLine="318"/>
            </w:pPr>
            <w:r w:rsidRPr="008234E5">
              <w:t xml:space="preserve">Общий объем бюджетных ассигнований на реализацию мероприятий программы составляет </w:t>
            </w:r>
            <w:r>
              <w:t>25</w:t>
            </w:r>
            <w:r w:rsidRPr="008234E5">
              <w:t xml:space="preserve"> </w:t>
            </w:r>
            <w:r>
              <w:t xml:space="preserve">000 </w:t>
            </w:r>
            <w:r w:rsidRPr="008234E5">
              <w:t>руб., из них:</w:t>
            </w:r>
          </w:p>
          <w:p w:rsidR="00CD655B" w:rsidRPr="008234E5" w:rsidRDefault="00CD655B" w:rsidP="009E422A">
            <w:pPr>
              <w:ind w:firstLine="318"/>
            </w:pPr>
            <w:r w:rsidRPr="008234E5">
              <w:t xml:space="preserve">- за счет средств бюджета </w:t>
            </w:r>
            <w:proofErr w:type="spellStart"/>
            <w:r>
              <w:t>Гостомлянского</w:t>
            </w:r>
            <w:proofErr w:type="spellEnd"/>
            <w:r w:rsidRPr="008234E5">
              <w:t xml:space="preserve"> сельсовета – </w:t>
            </w:r>
            <w:r>
              <w:t xml:space="preserve">25 000 </w:t>
            </w:r>
            <w:r w:rsidRPr="008234E5">
              <w:t>руб., в том числе по годам:</w:t>
            </w:r>
          </w:p>
          <w:p w:rsidR="00CD655B" w:rsidRPr="008234E5" w:rsidRDefault="00CD655B" w:rsidP="009E422A">
            <w:pPr>
              <w:ind w:firstLine="318"/>
            </w:pPr>
            <w:r>
              <w:t xml:space="preserve">2021 год – 5 000 </w:t>
            </w:r>
            <w:r w:rsidRPr="008234E5">
              <w:t>руб.;</w:t>
            </w:r>
          </w:p>
          <w:p w:rsidR="00CD655B" w:rsidRPr="008234E5" w:rsidRDefault="00CD655B" w:rsidP="009E422A">
            <w:pPr>
              <w:ind w:firstLine="318"/>
            </w:pPr>
            <w:r w:rsidRPr="008234E5">
              <w:t xml:space="preserve">2022 год – </w:t>
            </w:r>
            <w:r>
              <w:t>5 000 руб.;</w:t>
            </w:r>
          </w:p>
          <w:p w:rsidR="00CD655B" w:rsidRPr="008234E5" w:rsidRDefault="00CD655B" w:rsidP="009E422A">
            <w:pPr>
              <w:ind w:firstLine="318"/>
            </w:pPr>
            <w:r w:rsidRPr="008234E5">
              <w:t xml:space="preserve">2023 год – </w:t>
            </w:r>
            <w:r>
              <w:t>5 000 руб.;</w:t>
            </w:r>
          </w:p>
          <w:p w:rsidR="00CD655B" w:rsidRPr="008234E5" w:rsidRDefault="00CD655B" w:rsidP="009E422A">
            <w:pPr>
              <w:ind w:firstLine="318"/>
            </w:pPr>
            <w:r w:rsidRPr="008234E5">
              <w:t xml:space="preserve">2024 год – </w:t>
            </w:r>
            <w:r>
              <w:t>5 000 руб.;</w:t>
            </w:r>
          </w:p>
          <w:p w:rsidR="00CD655B" w:rsidRDefault="00CD655B" w:rsidP="009E422A">
            <w:pPr>
              <w:ind w:left="132" w:right="141" w:firstLine="186"/>
            </w:pPr>
            <w:r w:rsidRPr="008234E5">
              <w:t xml:space="preserve">2025 год – </w:t>
            </w:r>
            <w:r>
              <w:t>5 000 руб.;</w:t>
            </w:r>
          </w:p>
          <w:p w:rsidR="00CD655B" w:rsidRPr="00132B51" w:rsidRDefault="00CD655B" w:rsidP="009E422A">
            <w:pPr>
              <w:ind w:left="34" w:right="141" w:firstLine="318"/>
            </w:pPr>
            <w:r>
              <w:t>Финансирование мероприятий данной подпрограммы осуществляется за счет средств бюджета муниципального образования «</w:t>
            </w:r>
            <w:proofErr w:type="spellStart"/>
            <w:r>
              <w:t>Гостомлянский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</w:tr>
      <w:tr w:rsidR="00CD655B" w:rsidRPr="00132B51" w:rsidTr="009E422A">
        <w:tc>
          <w:tcPr>
            <w:tcW w:w="2943" w:type="dxa"/>
            <w:shd w:val="clear" w:color="auto" w:fill="auto"/>
          </w:tcPr>
          <w:p w:rsidR="00CD655B" w:rsidRPr="00132B51" w:rsidRDefault="00CD655B" w:rsidP="009E422A">
            <w:pPr>
              <w:ind w:left="142"/>
            </w:pPr>
            <w:r w:rsidRPr="00132B51">
              <w:t>Ожидаемые результаты реализации подпрограммы</w:t>
            </w:r>
          </w:p>
        </w:tc>
        <w:tc>
          <w:tcPr>
            <w:tcW w:w="6628" w:type="dxa"/>
            <w:shd w:val="clear" w:color="auto" w:fill="auto"/>
          </w:tcPr>
          <w:p w:rsidR="00CD655B" w:rsidRPr="000112C2" w:rsidRDefault="00CD655B" w:rsidP="009E422A">
            <w:pPr>
              <w:ind w:firstLine="367"/>
            </w:pPr>
            <w:proofErr w:type="gramStart"/>
            <w:r>
              <w:t>- сокращение по отношению к 2020</w:t>
            </w:r>
            <w:r w:rsidRPr="000112C2">
              <w:t xml:space="preserve"> году доли расходов на коммунальные услуги</w:t>
            </w:r>
            <w:r>
              <w:t xml:space="preserve"> (уличное освещение)</w:t>
            </w:r>
            <w:r w:rsidRPr="000112C2">
              <w:t xml:space="preserve"> в общих расходах местного бюджет</w:t>
            </w:r>
            <w:r>
              <w:t>а в 2021 году на 3%, в 2022</w:t>
            </w:r>
            <w:r w:rsidRPr="000112C2">
              <w:t xml:space="preserve"> году </w:t>
            </w:r>
            <w:r>
              <w:t>– на 5%, в 2023 году на 7%; в 2024 году – 9%; в 2025 году – 11%.</w:t>
            </w:r>
            <w:proofErr w:type="gramEnd"/>
          </w:p>
          <w:p w:rsidR="00CD655B" w:rsidRPr="00132B51" w:rsidRDefault="00CD655B" w:rsidP="009E422A">
            <w:pPr>
              <w:ind w:right="-1" w:firstLine="317"/>
            </w:pPr>
            <w:r w:rsidRPr="00D1482E">
              <w:t>- обеспечение в бюджетной сфере  замены ртутных ламп уличного  освещ</w:t>
            </w:r>
            <w:r>
              <w:t>ения на энергосберегающие до 2025 года.</w:t>
            </w:r>
          </w:p>
        </w:tc>
      </w:tr>
    </w:tbl>
    <w:p w:rsidR="00CD655B" w:rsidRPr="00A2072F" w:rsidRDefault="00CD655B" w:rsidP="00CD655B">
      <w:pPr>
        <w:jc w:val="center"/>
        <w:rPr>
          <w:b/>
          <w:bCs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Раздел 1. Содержание проблемы и обоснование необходимости её решения программными методами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Известно, что затраты на энергетические ресурсы составляют существенную часть затрат бюджета муниципального образования,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области.</w:t>
      </w:r>
    </w:p>
    <w:p w:rsidR="00CD655B" w:rsidRPr="008B2007" w:rsidRDefault="00CD655B" w:rsidP="00CD655B">
      <w:pPr>
        <w:tabs>
          <w:tab w:val="left" w:pos="459"/>
          <w:tab w:val="left" w:pos="1134"/>
        </w:tabs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lastRenderedPageBreak/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области, и прежде всего, в жилищном фонде, муниципальных учреждениях и унитарных предприятиях.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Срок реализации таких мероприятий определяется, во-первых, сроками либерализации рынков первичных энергетических ресурсов (до 2025 года),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CD655B" w:rsidRPr="008B2007" w:rsidRDefault="00CD655B" w:rsidP="00CD655B">
      <w:pPr>
        <w:tabs>
          <w:tab w:val="left" w:pos="459"/>
          <w:tab w:val="left" w:pos="1134"/>
        </w:tabs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Pr="008B2007">
        <w:rPr>
          <w:rFonts w:cs="Arial"/>
          <w:sz w:val="24"/>
        </w:rPr>
        <w:t>Гостомлянский</w:t>
      </w:r>
      <w:proofErr w:type="spellEnd"/>
      <w:r w:rsidRPr="008B2007">
        <w:rPr>
          <w:rFonts w:cs="Arial"/>
          <w:sz w:val="24"/>
        </w:rPr>
        <w:t xml:space="preserve"> сельсовет» </w:t>
      </w:r>
      <w:proofErr w:type="spellStart"/>
      <w:r w:rsidRPr="008B2007">
        <w:rPr>
          <w:rFonts w:cs="Arial"/>
          <w:sz w:val="24"/>
        </w:rPr>
        <w:t>Медвенского</w:t>
      </w:r>
      <w:proofErr w:type="spellEnd"/>
      <w:r w:rsidRPr="008B2007">
        <w:rPr>
          <w:rFonts w:cs="Arial"/>
          <w:sz w:val="24"/>
        </w:rPr>
        <w:t xml:space="preserve"> района Курской области.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CD655B" w:rsidRPr="008B2007" w:rsidRDefault="00CD655B" w:rsidP="00CD655B">
      <w:pPr>
        <w:tabs>
          <w:tab w:val="left" w:pos="459"/>
          <w:tab w:val="left" w:pos="1134"/>
        </w:tabs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CD655B" w:rsidRPr="008B2007" w:rsidRDefault="00CD655B" w:rsidP="00CD655B">
      <w:pPr>
        <w:ind w:firstLine="720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Основные риски, связанные с реализацией подпрограммы, определяются следующими факторами:</w:t>
      </w:r>
    </w:p>
    <w:p w:rsidR="00CD655B" w:rsidRPr="008B2007" w:rsidRDefault="00CD655B" w:rsidP="00CD655B">
      <w:pPr>
        <w:ind w:firstLine="720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CD655B" w:rsidRPr="008B2007" w:rsidRDefault="00CD655B" w:rsidP="00CD655B">
      <w:pPr>
        <w:ind w:firstLine="720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неопределенностью конъюнктуры и неразвитостью институтов рынка энергосбережения; </w:t>
      </w:r>
    </w:p>
    <w:p w:rsidR="00CD655B" w:rsidRPr="008B2007" w:rsidRDefault="00CD655B" w:rsidP="00CD655B">
      <w:pPr>
        <w:ind w:firstLine="720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CD655B" w:rsidRPr="008B2007" w:rsidRDefault="00CD655B" w:rsidP="00CD655B">
      <w:pPr>
        <w:pStyle w:val="ConsPlusNormal"/>
        <w:widowControl/>
        <w:jc w:val="both"/>
        <w:rPr>
          <w:sz w:val="24"/>
          <w:szCs w:val="24"/>
        </w:rPr>
      </w:pPr>
      <w:r w:rsidRPr="008B2007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Pr="008B2007">
        <w:rPr>
          <w:sz w:val="24"/>
          <w:szCs w:val="24"/>
        </w:rPr>
        <w:t>Гостомлянский</w:t>
      </w:r>
      <w:proofErr w:type="spellEnd"/>
      <w:r w:rsidRPr="008B2007">
        <w:rPr>
          <w:sz w:val="24"/>
          <w:szCs w:val="24"/>
        </w:rPr>
        <w:t xml:space="preserve"> сельсовет» </w:t>
      </w:r>
      <w:proofErr w:type="spellStart"/>
      <w:r w:rsidRPr="008B2007">
        <w:rPr>
          <w:sz w:val="24"/>
          <w:szCs w:val="24"/>
        </w:rPr>
        <w:t>Медвенского</w:t>
      </w:r>
      <w:proofErr w:type="spellEnd"/>
      <w:r w:rsidRPr="008B2007">
        <w:rPr>
          <w:sz w:val="24"/>
          <w:szCs w:val="24"/>
        </w:rPr>
        <w:t xml:space="preserve"> района Курской области.</w:t>
      </w:r>
    </w:p>
    <w:p w:rsidR="00CD655B" w:rsidRPr="008B2007" w:rsidRDefault="00CD655B" w:rsidP="00CD655B">
      <w:pPr>
        <w:ind w:firstLine="708"/>
        <w:jc w:val="both"/>
        <w:rPr>
          <w:rFonts w:cs="Arial"/>
          <w:sz w:val="24"/>
        </w:rPr>
      </w:pPr>
    </w:p>
    <w:p w:rsidR="00CD655B" w:rsidRPr="008B2007" w:rsidRDefault="00CD655B" w:rsidP="00CD655B">
      <w:pPr>
        <w:jc w:val="center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lastRenderedPageBreak/>
        <w:t>Раздел 2. Цели, задачи и показатели (индикаторы) достижения целей и решения задач, сроки и этапы реализации подпрограммы</w:t>
      </w:r>
    </w:p>
    <w:p w:rsidR="00CD655B" w:rsidRPr="008B2007" w:rsidRDefault="00CD655B" w:rsidP="00CD655B">
      <w:pPr>
        <w:jc w:val="both"/>
        <w:rPr>
          <w:rFonts w:cs="Arial"/>
          <w:sz w:val="24"/>
        </w:rPr>
      </w:pP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2.1. Цели и задачи подпрограммы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Основными целями подпрограммы являются:</w:t>
      </w:r>
    </w:p>
    <w:p w:rsidR="00CD655B" w:rsidRPr="008B2007" w:rsidRDefault="00CD655B" w:rsidP="00CD655B">
      <w:pPr>
        <w:ind w:left="132" w:right="141" w:firstLine="577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улучшение условий и качества жизни населения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сельсовета, переход экономики </w:t>
      </w:r>
      <w:proofErr w:type="spellStart"/>
      <w:r w:rsidRPr="008B2007">
        <w:rPr>
          <w:rFonts w:cs="Arial"/>
          <w:sz w:val="24"/>
        </w:rPr>
        <w:t>Гостомлянского</w:t>
      </w:r>
      <w:proofErr w:type="spellEnd"/>
      <w:r w:rsidRPr="008B2007">
        <w:rPr>
          <w:rFonts w:cs="Arial"/>
          <w:sz w:val="24"/>
        </w:rPr>
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реализация организационных мероприятий по энергосбережению и повышению энергетической эффективности 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2.2. Сроки и этапы реализации подпрограммы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Подпрограмма будет реализовываться в период 2021 -2025 годы в 1 этап.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b/>
          <w:bCs/>
          <w:sz w:val="24"/>
        </w:rPr>
        <w:t>2.3. Сведения о показателях (индикаторах) достижения целей и решения задач подпрограммы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Основными показателями реализации подпрограммы являются: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 xml:space="preserve">- снижение потребления электрической энергии в муниципальном образовании, % (Замена ламп накаливания </w:t>
      </w:r>
      <w:proofErr w:type="gramStart"/>
      <w:r w:rsidRPr="008B2007">
        <w:rPr>
          <w:rFonts w:cs="Arial"/>
          <w:sz w:val="24"/>
        </w:rPr>
        <w:t>на</w:t>
      </w:r>
      <w:proofErr w:type="gramEnd"/>
      <w:r w:rsidRPr="008B2007">
        <w:rPr>
          <w:rFonts w:cs="Arial"/>
          <w:sz w:val="24"/>
        </w:rPr>
        <w:t xml:space="preserve"> энергосберегающие, (поэтапная замена люминесцентных ламп, ламп ДРЛ, </w:t>
      </w:r>
      <w:proofErr w:type="spellStart"/>
      <w:r w:rsidRPr="008B2007">
        <w:rPr>
          <w:rFonts w:cs="Arial"/>
          <w:sz w:val="24"/>
        </w:rPr>
        <w:t>ДНаТ</w:t>
      </w:r>
      <w:proofErr w:type="spellEnd"/>
      <w:r w:rsidRPr="008B2007">
        <w:rPr>
          <w:rFonts w:cs="Arial"/>
          <w:sz w:val="24"/>
        </w:rPr>
        <w:t xml:space="preserve"> на энергосберегающие, в </w:t>
      </w:r>
      <w:proofErr w:type="spellStart"/>
      <w:r w:rsidRPr="008B2007">
        <w:rPr>
          <w:rFonts w:cs="Arial"/>
          <w:sz w:val="24"/>
        </w:rPr>
        <w:t>т.ч</w:t>
      </w:r>
      <w:proofErr w:type="spellEnd"/>
      <w:r w:rsidRPr="008B2007">
        <w:rPr>
          <w:rFonts w:cs="Arial"/>
          <w:sz w:val="24"/>
        </w:rPr>
        <w:t>. светодиодные));</w:t>
      </w:r>
    </w:p>
    <w:p w:rsidR="00CD655B" w:rsidRPr="008B2007" w:rsidRDefault="00CD655B" w:rsidP="00CD655B">
      <w:pPr>
        <w:ind w:firstLine="709"/>
        <w:jc w:val="both"/>
        <w:rPr>
          <w:rFonts w:cs="Arial"/>
          <w:sz w:val="24"/>
        </w:rPr>
      </w:pPr>
      <w:r w:rsidRPr="008B2007">
        <w:rPr>
          <w:rFonts w:cs="Arial"/>
          <w:sz w:val="24"/>
        </w:rPr>
        <w:t>- улучшение качества жизни населения сельсовета.</w:t>
      </w:r>
    </w:p>
    <w:p w:rsidR="00CD655B" w:rsidRPr="00A2072F" w:rsidRDefault="00CD655B" w:rsidP="00CD655B">
      <w:pPr>
        <w:ind w:firstLine="709"/>
      </w:pPr>
    </w:p>
    <w:p w:rsidR="00CD655B" w:rsidRPr="008B2007" w:rsidRDefault="00CD655B" w:rsidP="00CD655B">
      <w:pPr>
        <w:jc w:val="center"/>
        <w:rPr>
          <w:sz w:val="24"/>
        </w:rPr>
      </w:pPr>
      <w:r w:rsidRPr="008B2007">
        <w:rPr>
          <w:b/>
          <w:bCs/>
          <w:sz w:val="24"/>
        </w:rPr>
        <w:t>Раздел 3. Система мероприятий подпрограммы, ресурсное обеспечение, перечень мероприятий с разбивкой по годам, источникам финансирования подпрограммы</w:t>
      </w:r>
    </w:p>
    <w:p w:rsidR="00CD655B" w:rsidRPr="00A2072F" w:rsidRDefault="00CD655B" w:rsidP="00CD655B">
      <w:pPr>
        <w:jc w:val="center"/>
      </w:pP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 xml:space="preserve">Одним из приоритетных направлений энергосбережения и повышения энергетической эффективности в </w:t>
      </w:r>
      <w:proofErr w:type="spellStart"/>
      <w:r w:rsidRPr="008B2007">
        <w:rPr>
          <w:sz w:val="24"/>
        </w:rPr>
        <w:t>Гостомлянском</w:t>
      </w:r>
      <w:proofErr w:type="spellEnd"/>
      <w:r w:rsidRPr="008B2007">
        <w:rPr>
          <w:sz w:val="24"/>
        </w:rPr>
        <w:t xml:space="preserve"> сельсовете </w:t>
      </w:r>
      <w:proofErr w:type="spellStart"/>
      <w:r w:rsidRPr="008B2007">
        <w:rPr>
          <w:sz w:val="24"/>
        </w:rPr>
        <w:t>Медвенского</w:t>
      </w:r>
      <w:proofErr w:type="spellEnd"/>
      <w:r w:rsidRPr="008B2007">
        <w:rPr>
          <w:sz w:val="24"/>
        </w:rPr>
        <w:t xml:space="preserve"> района Курской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В состав подпрограммы входит основное мероприятие «Осуществление мероприятий в области энергосбережения».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Общий объем бюджетных ассигнований на реализацию мероприятий программы составляет 25 000 руб., из них: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 xml:space="preserve">- за счет средств бюджета </w:t>
      </w:r>
      <w:proofErr w:type="spellStart"/>
      <w:r w:rsidRPr="008B2007">
        <w:rPr>
          <w:sz w:val="24"/>
        </w:rPr>
        <w:t>Гостомлянского</w:t>
      </w:r>
      <w:proofErr w:type="spellEnd"/>
      <w:r w:rsidRPr="008B2007">
        <w:rPr>
          <w:sz w:val="24"/>
        </w:rPr>
        <w:t xml:space="preserve"> сельсовета – 25 000 руб., в том числе по годам: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2021 год – 5 000 руб.;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2022 год – 5 000 руб.;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2023 год – 5 000 руб.;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2024 год – 5 000 руб.;</w:t>
      </w:r>
    </w:p>
    <w:p w:rsidR="00CD655B" w:rsidRPr="008B2007" w:rsidRDefault="00CD655B" w:rsidP="00CD655B">
      <w:pPr>
        <w:ind w:left="132" w:right="141" w:firstLine="577"/>
        <w:jc w:val="both"/>
        <w:rPr>
          <w:sz w:val="24"/>
        </w:rPr>
      </w:pPr>
      <w:r w:rsidRPr="008B2007">
        <w:rPr>
          <w:sz w:val="24"/>
        </w:rPr>
        <w:t>2025 год – 5 000 руб.;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Финансирование мероприятий данной подпрограммы осуществляется за счет средств бюджета муниципального образования «</w:t>
      </w:r>
      <w:proofErr w:type="spellStart"/>
      <w:r w:rsidRPr="008B2007">
        <w:rPr>
          <w:sz w:val="24"/>
        </w:rPr>
        <w:t>Гостомлянский</w:t>
      </w:r>
      <w:proofErr w:type="spellEnd"/>
      <w:r w:rsidRPr="008B2007">
        <w:rPr>
          <w:sz w:val="24"/>
        </w:rPr>
        <w:t xml:space="preserve"> сельсовет» </w:t>
      </w:r>
      <w:proofErr w:type="spellStart"/>
      <w:r w:rsidRPr="008B2007">
        <w:rPr>
          <w:sz w:val="24"/>
        </w:rPr>
        <w:t>Медвенского</w:t>
      </w:r>
      <w:proofErr w:type="spellEnd"/>
      <w:r w:rsidRPr="008B2007">
        <w:rPr>
          <w:sz w:val="24"/>
        </w:rPr>
        <w:t xml:space="preserve"> района Курской области. 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CD655B" w:rsidRPr="00A2072F" w:rsidRDefault="00CD655B" w:rsidP="00CD655B">
      <w:pPr>
        <w:ind w:firstLine="709"/>
      </w:pPr>
    </w:p>
    <w:p w:rsidR="00CD655B" w:rsidRPr="008B2007" w:rsidRDefault="00CD655B" w:rsidP="00CD655B">
      <w:pPr>
        <w:jc w:val="center"/>
        <w:rPr>
          <w:sz w:val="24"/>
        </w:rPr>
      </w:pPr>
      <w:r w:rsidRPr="008B2007">
        <w:rPr>
          <w:b/>
          <w:bCs/>
          <w:sz w:val="24"/>
        </w:rPr>
        <w:t>Раздел 4. Прогноз сводных показателей муниципальных заданий по этапам реализации подпрограммы (при оказании муниципальными учреждениями муниципальных услу</w:t>
      </w:r>
      <w:proofErr w:type="gramStart"/>
      <w:r w:rsidRPr="008B2007">
        <w:rPr>
          <w:b/>
          <w:bCs/>
          <w:sz w:val="24"/>
        </w:rPr>
        <w:t>г(</w:t>
      </w:r>
      <w:proofErr w:type="gramEnd"/>
      <w:r w:rsidRPr="008B2007">
        <w:rPr>
          <w:b/>
          <w:bCs/>
          <w:sz w:val="24"/>
        </w:rPr>
        <w:t>работ) в рамках подпрограммы)</w:t>
      </w:r>
    </w:p>
    <w:p w:rsidR="00CD655B" w:rsidRPr="00A2072F" w:rsidRDefault="00CD655B" w:rsidP="00CD655B">
      <w:pPr>
        <w:jc w:val="center"/>
      </w:pPr>
    </w:p>
    <w:p w:rsidR="00CD655B" w:rsidRPr="008B2007" w:rsidRDefault="00CD655B" w:rsidP="00CD655B">
      <w:pPr>
        <w:ind w:firstLine="708"/>
        <w:jc w:val="both"/>
        <w:rPr>
          <w:sz w:val="24"/>
        </w:rPr>
      </w:pPr>
      <w:r w:rsidRPr="008B2007">
        <w:rPr>
          <w:sz w:val="24"/>
        </w:rPr>
        <w:lastRenderedPageBreak/>
        <w:t>Выполнение муниципальных заданий в рамках подпрограммы не предусмотрено.</w:t>
      </w:r>
    </w:p>
    <w:p w:rsidR="00CD655B" w:rsidRPr="00A2072F" w:rsidRDefault="00CD655B" w:rsidP="00CD655B"/>
    <w:p w:rsidR="00CD655B" w:rsidRPr="008B2007" w:rsidRDefault="00CD655B" w:rsidP="00CD655B">
      <w:pPr>
        <w:jc w:val="center"/>
        <w:rPr>
          <w:sz w:val="24"/>
        </w:rPr>
      </w:pPr>
      <w:r w:rsidRPr="008B2007">
        <w:rPr>
          <w:b/>
          <w:bCs/>
          <w:sz w:val="24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CD655B" w:rsidRPr="00A2072F" w:rsidRDefault="00CD655B" w:rsidP="00CD655B">
      <w:pPr>
        <w:jc w:val="center"/>
      </w:pPr>
    </w:p>
    <w:p w:rsidR="00CD655B" w:rsidRPr="008B2007" w:rsidRDefault="00CD655B" w:rsidP="00CD655B">
      <w:pPr>
        <w:ind w:firstLine="708"/>
        <w:jc w:val="both"/>
        <w:rPr>
          <w:sz w:val="24"/>
        </w:rPr>
      </w:pPr>
      <w:r w:rsidRPr="008B2007">
        <w:rPr>
          <w:sz w:val="24"/>
        </w:rPr>
        <w:t>Предприятия и организации, а также государственные внебюджетные фонды в реализации подпрограммы участия не принимают</w:t>
      </w:r>
    </w:p>
    <w:p w:rsidR="00CD655B" w:rsidRPr="00A2072F" w:rsidRDefault="00CD655B" w:rsidP="00CD655B">
      <w:pPr>
        <w:jc w:val="center"/>
      </w:pPr>
    </w:p>
    <w:p w:rsidR="00CD655B" w:rsidRPr="008B2007" w:rsidRDefault="00CD655B" w:rsidP="00CD655B">
      <w:pPr>
        <w:jc w:val="center"/>
        <w:rPr>
          <w:sz w:val="24"/>
        </w:rPr>
      </w:pPr>
      <w:r w:rsidRPr="008B2007">
        <w:rPr>
          <w:b/>
          <w:bCs/>
          <w:sz w:val="24"/>
        </w:rPr>
        <w:t>Раздел 6.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CD655B" w:rsidRPr="00A2072F" w:rsidRDefault="00CD655B" w:rsidP="00CD655B">
      <w:pPr>
        <w:jc w:val="center"/>
      </w:pPr>
    </w:p>
    <w:p w:rsidR="00CD655B" w:rsidRPr="008B2007" w:rsidRDefault="00CD655B" w:rsidP="00CD655B">
      <w:pPr>
        <w:ind w:firstLine="709"/>
        <w:jc w:val="both"/>
        <w:rPr>
          <w:sz w:val="24"/>
        </w:rPr>
      </w:pPr>
      <w:r w:rsidRPr="008B2007">
        <w:rPr>
          <w:sz w:val="24"/>
        </w:rPr>
        <w:t>В результате реализации подпрограммы ожидается:</w:t>
      </w:r>
    </w:p>
    <w:p w:rsidR="00CD655B" w:rsidRPr="008B2007" w:rsidRDefault="00CD655B" w:rsidP="00CD655B">
      <w:pPr>
        <w:ind w:firstLine="709"/>
        <w:jc w:val="both"/>
        <w:rPr>
          <w:sz w:val="24"/>
        </w:rPr>
      </w:pPr>
      <w:proofErr w:type="gramStart"/>
      <w:r w:rsidRPr="008B2007">
        <w:rPr>
          <w:sz w:val="24"/>
        </w:rPr>
        <w:t>- сокращение по отношению к 2020 году доли расходов на коммунальные услуги (уличное освещение) в общих расходах местного бюджета в 2021 году на 3%, в 2022 году – на 5%, в 2023 году на 7%; в 2024 году – 9%; в 2025 году – 11%.</w:t>
      </w:r>
      <w:proofErr w:type="gramEnd"/>
    </w:p>
    <w:p w:rsidR="00CD655B" w:rsidRPr="008B2007" w:rsidRDefault="00CD655B" w:rsidP="00CD655B">
      <w:pPr>
        <w:spacing w:line="204" w:lineRule="auto"/>
        <w:ind w:firstLine="709"/>
        <w:jc w:val="both"/>
        <w:rPr>
          <w:sz w:val="24"/>
        </w:rPr>
      </w:pPr>
      <w:r w:rsidRPr="008B2007">
        <w:rPr>
          <w:sz w:val="24"/>
        </w:rPr>
        <w:t>- обеспечение в бюджетной сфере  замены ртутных ламп уличного  освещения на энергосберегающие до 2025 года.</w:t>
      </w:r>
    </w:p>
    <w:p w:rsidR="00CD655B" w:rsidRDefault="00CD655B" w:rsidP="00CD655B">
      <w:pPr>
        <w:spacing w:line="204" w:lineRule="auto"/>
        <w:ind w:firstLine="720"/>
        <w:jc w:val="center"/>
        <w:rPr>
          <w:sz w:val="28"/>
          <w:szCs w:val="28"/>
        </w:rPr>
      </w:pPr>
    </w:p>
    <w:p w:rsidR="00CD655B" w:rsidRDefault="00CD655B" w:rsidP="00CD655B">
      <w:pPr>
        <w:ind w:firstLine="720"/>
        <w:jc w:val="center"/>
        <w:rPr>
          <w:sz w:val="28"/>
          <w:szCs w:val="28"/>
        </w:rPr>
        <w:sectPr w:rsidR="00CD655B" w:rsidSect="009B680A">
          <w:headerReference w:type="even" r:id="rId5"/>
          <w:headerReference w:type="first" r:id="rId6"/>
          <w:pgSz w:w="11906" w:h="16838" w:code="9"/>
          <w:pgMar w:top="1134" w:right="850" w:bottom="851" w:left="1701" w:header="0" w:footer="0" w:gutter="0"/>
          <w:cols w:space="720"/>
          <w:docGrid w:linePitch="326"/>
        </w:sectPr>
      </w:pPr>
    </w:p>
    <w:p w:rsidR="00CD655B" w:rsidRPr="00B56235" w:rsidRDefault="00CD655B" w:rsidP="00CD655B">
      <w:pPr>
        <w:ind w:left="8222"/>
        <w:jc w:val="right"/>
      </w:pPr>
      <w:r w:rsidRPr="00B56235">
        <w:lastRenderedPageBreak/>
        <w:t>Приложение № 1</w:t>
      </w:r>
    </w:p>
    <w:p w:rsidR="00CD655B" w:rsidRPr="00B56235" w:rsidRDefault="00CD655B" w:rsidP="00CD655B">
      <w:pPr>
        <w:pStyle w:val="a3"/>
        <w:spacing w:after="0"/>
        <w:ind w:left="8222"/>
        <w:jc w:val="right"/>
      </w:pPr>
      <w:r w:rsidRPr="00B56235">
        <w:t>к муниципальной программе «</w:t>
      </w:r>
      <w:r w:rsidRPr="00B56235">
        <w:rPr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>
        <w:rPr>
          <w:bCs/>
        </w:rPr>
        <w:t>Гостомлянский</w:t>
      </w:r>
      <w:proofErr w:type="spellEnd"/>
      <w:r w:rsidRPr="00B56235">
        <w:rPr>
          <w:bCs/>
        </w:rPr>
        <w:t xml:space="preserve"> сельсовет» </w:t>
      </w:r>
      <w:proofErr w:type="spellStart"/>
      <w:r w:rsidRPr="00B56235">
        <w:rPr>
          <w:bCs/>
        </w:rPr>
        <w:t>Медвенского</w:t>
      </w:r>
      <w:proofErr w:type="spellEnd"/>
      <w:r w:rsidRPr="00B56235">
        <w:rPr>
          <w:bCs/>
        </w:rPr>
        <w:t xml:space="preserve"> района Курской области на период 2021 – 2025 годы</w:t>
      </w:r>
      <w:r w:rsidRPr="00B56235">
        <w:t>»</w:t>
      </w:r>
    </w:p>
    <w:p w:rsidR="00CD655B" w:rsidRDefault="00CD655B" w:rsidP="00CD655B">
      <w:pPr>
        <w:pStyle w:val="a3"/>
        <w:spacing w:after="0"/>
        <w:ind w:left="8222" w:hanging="4365"/>
        <w:jc w:val="right"/>
        <w:rPr>
          <w:bCs/>
          <w:sz w:val="28"/>
          <w:szCs w:val="28"/>
        </w:rPr>
      </w:pPr>
    </w:p>
    <w:p w:rsidR="00CD655B" w:rsidRDefault="00CD655B" w:rsidP="00CD655B">
      <w:pPr>
        <w:pStyle w:val="a3"/>
        <w:spacing w:after="0"/>
        <w:ind w:left="8222" w:hanging="4365"/>
        <w:jc w:val="right"/>
        <w:rPr>
          <w:bCs/>
          <w:sz w:val="28"/>
          <w:szCs w:val="28"/>
        </w:rPr>
      </w:pPr>
    </w:p>
    <w:p w:rsidR="00CD655B" w:rsidRPr="00910968" w:rsidRDefault="00CD655B" w:rsidP="00CD655B">
      <w:pPr>
        <w:pStyle w:val="a3"/>
        <w:spacing w:after="0"/>
        <w:ind w:left="8222" w:hanging="4365"/>
        <w:jc w:val="right"/>
        <w:rPr>
          <w:bCs/>
          <w:sz w:val="28"/>
          <w:szCs w:val="28"/>
        </w:rPr>
      </w:pPr>
    </w:p>
    <w:p w:rsidR="00CD655B" w:rsidRDefault="00CD655B" w:rsidP="00CD655B">
      <w:pPr>
        <w:pStyle w:val="a3"/>
        <w:spacing w:after="0"/>
        <w:jc w:val="center"/>
        <w:rPr>
          <w:b/>
        </w:rPr>
      </w:pPr>
      <w:r>
        <w:rPr>
          <w:b/>
        </w:rPr>
        <w:t>Сведения</w:t>
      </w:r>
    </w:p>
    <w:p w:rsidR="00CD655B" w:rsidRPr="00910968" w:rsidRDefault="00CD655B" w:rsidP="00CD655B">
      <w:pPr>
        <w:pStyle w:val="a3"/>
        <w:spacing w:after="0"/>
        <w:jc w:val="center"/>
        <w:rPr>
          <w:b/>
        </w:rPr>
      </w:pPr>
      <w:r w:rsidRPr="00B56235">
        <w:rPr>
          <w:b/>
        </w:rPr>
        <w:t>о показателях (индикаторах) муниципальной программы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 w:rsidRPr="00B56235">
        <w:rPr>
          <w:b/>
        </w:rPr>
        <w:t xml:space="preserve"> сельсовет» </w:t>
      </w:r>
      <w:proofErr w:type="spellStart"/>
      <w:r w:rsidRPr="00B56235">
        <w:rPr>
          <w:b/>
        </w:rPr>
        <w:t>Медвенского</w:t>
      </w:r>
      <w:proofErr w:type="spellEnd"/>
      <w:r w:rsidRPr="00B56235">
        <w:rPr>
          <w:b/>
        </w:rPr>
        <w:t xml:space="preserve"> района Курской области «</w:t>
      </w:r>
      <w:r w:rsidRPr="00B56235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>
        <w:rPr>
          <w:b/>
          <w:bCs/>
        </w:rPr>
        <w:t>Гостомлянский</w:t>
      </w:r>
      <w:proofErr w:type="spellEnd"/>
      <w:r w:rsidRPr="00B56235">
        <w:rPr>
          <w:b/>
          <w:bCs/>
        </w:rPr>
        <w:t xml:space="preserve"> сельсовет» </w:t>
      </w:r>
      <w:proofErr w:type="spellStart"/>
      <w:r w:rsidRPr="00B56235">
        <w:rPr>
          <w:b/>
          <w:bCs/>
        </w:rPr>
        <w:t>Медвенского</w:t>
      </w:r>
      <w:proofErr w:type="spellEnd"/>
      <w:r w:rsidRPr="00B56235">
        <w:rPr>
          <w:b/>
          <w:bCs/>
        </w:rPr>
        <w:t xml:space="preserve"> района Курской области на период 2021 – 2025 годы»</w:t>
      </w:r>
      <w:r>
        <w:rPr>
          <w:b/>
        </w:rPr>
        <w:t xml:space="preserve"> </w:t>
      </w:r>
      <w:r w:rsidRPr="00B56235">
        <w:rPr>
          <w:b/>
        </w:rPr>
        <w:t>и ее подпрограммы и их значениях</w:t>
      </w:r>
    </w:p>
    <w:p w:rsidR="00CD655B" w:rsidRDefault="00CD655B" w:rsidP="00CD655B">
      <w:pPr>
        <w:jc w:val="center"/>
      </w:pPr>
    </w:p>
    <w:p w:rsidR="00CD655B" w:rsidRDefault="00CD655B" w:rsidP="00CD655B">
      <w:pPr>
        <w:jc w:val="center"/>
      </w:pPr>
    </w:p>
    <w:tbl>
      <w:tblPr>
        <w:tblW w:w="14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134"/>
        <w:gridCol w:w="1276"/>
        <w:gridCol w:w="1276"/>
        <w:gridCol w:w="1417"/>
        <w:gridCol w:w="1487"/>
      </w:tblGrid>
      <w:tr w:rsidR="00CD655B" w:rsidTr="009E422A">
        <w:trPr>
          <w:trHeight w:val="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65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по годам</w:t>
            </w:r>
          </w:p>
        </w:tc>
      </w:tr>
      <w:tr w:rsidR="00CD655B" w:rsidTr="009E422A">
        <w:trPr>
          <w:trHeight w:val="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562D65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D75D8A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B9579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CD655B" w:rsidTr="009E422A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D655B" w:rsidTr="009E422A">
        <w:trPr>
          <w:trHeight w:val="1"/>
        </w:trPr>
        <w:tc>
          <w:tcPr>
            <w:tcW w:w="14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B32488" w:rsidRDefault="00CD655B" w:rsidP="009E422A">
            <w:r>
              <w:rPr>
                <w:b/>
                <w:bCs/>
              </w:rPr>
              <w:t xml:space="preserve">Муниципальная программа: </w:t>
            </w:r>
            <w:r w:rsidRPr="005F1153">
              <w:rPr>
                <w:b/>
              </w:rPr>
              <w:t>«</w:t>
            </w:r>
            <w:r w:rsidRPr="005F1153">
              <w:rPr>
                <w:b/>
                <w:bCs/>
              </w:rPr>
              <w:t>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</w:rPr>
              <w:t>Гостомлянский</w:t>
            </w:r>
            <w:proofErr w:type="spellEnd"/>
            <w:r w:rsidRPr="005F1153">
              <w:rPr>
                <w:b/>
                <w:bCs/>
              </w:rPr>
              <w:t xml:space="preserve"> сельсовет» </w:t>
            </w:r>
            <w:proofErr w:type="spellStart"/>
            <w:r w:rsidRPr="005F1153">
              <w:rPr>
                <w:b/>
                <w:bCs/>
              </w:rPr>
              <w:t>Медвенского</w:t>
            </w:r>
            <w:proofErr w:type="spellEnd"/>
            <w:r w:rsidRPr="005F1153">
              <w:rPr>
                <w:b/>
                <w:bCs/>
              </w:rPr>
              <w:t xml:space="preserve"> района Курской области на период 2021 – 2025 годы</w:t>
            </w:r>
            <w:r w:rsidRPr="005F1153">
              <w:rPr>
                <w:b/>
              </w:rPr>
              <w:t>»</w:t>
            </w:r>
          </w:p>
        </w:tc>
      </w:tr>
      <w:tr w:rsidR="00CD655B" w:rsidRPr="00A6271E" w:rsidTr="009E422A">
        <w:trPr>
          <w:trHeight w:val="90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271E">
              <w:rPr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r>
              <w:t>уровень затрат бюджета муниципального образования на оплату коммунальных услуг по сравнению с 2020 годом.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271E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jc w:val="center"/>
            </w:pPr>
            <w:r>
              <w:t>-3%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jc w:val="center"/>
            </w:pPr>
            <w:r>
              <w:t>-5%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jc w:val="center"/>
            </w:pPr>
            <w:r>
              <w:t>-7%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jc w:val="center"/>
            </w:pPr>
            <w:r>
              <w:t>-9%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910968" w:rsidRDefault="00CD655B" w:rsidP="009E422A">
            <w:pPr>
              <w:jc w:val="center"/>
            </w:pPr>
            <w:r>
              <w:t>-11%</w:t>
            </w:r>
          </w:p>
        </w:tc>
      </w:tr>
      <w:tr w:rsidR="00CD655B" w:rsidRPr="00A6271E" w:rsidTr="009E422A">
        <w:trPr>
          <w:trHeight w:val="1"/>
        </w:trPr>
        <w:tc>
          <w:tcPr>
            <w:tcW w:w="14670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271E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</w:t>
            </w:r>
            <w:r w:rsidRPr="00A6271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: </w:t>
            </w:r>
            <w:r w:rsidRPr="00C62D9C">
              <w:rPr>
                <w:b/>
                <w:bCs/>
              </w:rPr>
              <w:t>«</w:t>
            </w:r>
            <w:r w:rsidRPr="0062680C">
              <w:rPr>
                <w:b/>
              </w:rPr>
              <w:t>Энергосбережение в муниципальном образовании «</w:t>
            </w:r>
            <w:proofErr w:type="spellStart"/>
            <w:r>
              <w:rPr>
                <w:b/>
              </w:rPr>
              <w:t>Гостомлянский</w:t>
            </w:r>
            <w:proofErr w:type="spellEnd"/>
            <w:r w:rsidRPr="0062680C">
              <w:rPr>
                <w:b/>
              </w:rPr>
              <w:t xml:space="preserve"> сельсовет» </w:t>
            </w:r>
            <w:proofErr w:type="spellStart"/>
            <w:r w:rsidRPr="0062680C">
              <w:rPr>
                <w:b/>
              </w:rPr>
              <w:t>Медвенского</w:t>
            </w:r>
            <w:proofErr w:type="spellEnd"/>
            <w:r w:rsidRPr="0062680C">
              <w:rPr>
                <w:b/>
              </w:rPr>
              <w:t xml:space="preserve"> района Курской области в 2021-2025 годах</w:t>
            </w:r>
            <w:r w:rsidRPr="0062680C">
              <w:rPr>
                <w:b/>
                <w:bCs/>
              </w:rPr>
              <w:t>»</w:t>
            </w:r>
          </w:p>
        </w:tc>
      </w:tr>
      <w:tr w:rsidR="00CD655B" w:rsidRPr="00A6271E" w:rsidTr="009E42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9F2F88" w:rsidRDefault="00CD655B" w:rsidP="009E422A">
            <w:pPr>
              <w:autoSpaceDE w:val="0"/>
              <w:autoSpaceDN w:val="0"/>
              <w:adjustRightInd w:val="0"/>
              <w:jc w:val="center"/>
            </w:pPr>
            <w:r w:rsidRPr="009F2F88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9F2F88" w:rsidRDefault="00CD655B" w:rsidP="009E422A">
            <w:pPr>
              <w:tabs>
                <w:tab w:val="left" w:pos="459"/>
                <w:tab w:val="left" w:pos="1134"/>
              </w:tabs>
            </w:pPr>
            <w:r w:rsidRPr="009F2F88">
              <w:t xml:space="preserve">Замена ламп накаливания </w:t>
            </w:r>
            <w:proofErr w:type="gramStart"/>
            <w:r w:rsidRPr="009F2F88">
              <w:t>на</w:t>
            </w:r>
            <w:proofErr w:type="gramEnd"/>
            <w:r w:rsidRPr="009F2F88">
              <w:t xml:space="preserve"> энергосберегающие, (поэтапная замена люминесцентных ламп, ламп ДРЛ, </w:t>
            </w:r>
            <w:proofErr w:type="spellStart"/>
            <w:r w:rsidRPr="009F2F88">
              <w:t>ДНаТ</w:t>
            </w:r>
            <w:proofErr w:type="spellEnd"/>
            <w:r w:rsidRPr="009F2F88">
              <w:t xml:space="preserve"> на энергосберегающие, в </w:t>
            </w:r>
            <w:proofErr w:type="spellStart"/>
            <w:r w:rsidRPr="009F2F88">
              <w:t>т.ч</w:t>
            </w:r>
            <w:proofErr w:type="spellEnd"/>
            <w:r w:rsidRPr="009F2F88">
              <w:t>. светодиодные).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9F2F88" w:rsidRDefault="00CD655B" w:rsidP="009E422A">
            <w:pPr>
              <w:autoSpaceDE w:val="0"/>
              <w:autoSpaceDN w:val="0"/>
              <w:adjustRightInd w:val="0"/>
              <w:jc w:val="center"/>
            </w:pPr>
            <w:r w:rsidRPr="009F2F88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Pr="00A6271E" w:rsidRDefault="00CD655B" w:rsidP="009E422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655B" w:rsidRDefault="00CD655B" w:rsidP="009E422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</w:tbl>
    <w:p w:rsidR="00CD655B" w:rsidRPr="00E40718" w:rsidRDefault="00CD655B" w:rsidP="00CD655B">
      <w:pPr>
        <w:rPr>
          <w:rFonts w:eastAsia="Calibri"/>
        </w:rPr>
      </w:pPr>
    </w:p>
    <w:p w:rsidR="00CD655B" w:rsidRDefault="00CD655B" w:rsidP="00CD655B">
      <w:pPr>
        <w:jc w:val="center"/>
        <w:rPr>
          <w:sz w:val="28"/>
          <w:szCs w:val="28"/>
        </w:rPr>
      </w:pPr>
    </w:p>
    <w:p w:rsidR="00CD655B" w:rsidRDefault="00CD655B" w:rsidP="00CD655B">
      <w:pPr>
        <w:jc w:val="center"/>
        <w:rPr>
          <w:sz w:val="28"/>
          <w:szCs w:val="28"/>
        </w:rPr>
      </w:pPr>
    </w:p>
    <w:p w:rsidR="00CD655B" w:rsidRDefault="00CD655B" w:rsidP="00CD655B">
      <w:pPr>
        <w:jc w:val="center"/>
        <w:rPr>
          <w:sz w:val="28"/>
          <w:szCs w:val="28"/>
        </w:rPr>
      </w:pPr>
    </w:p>
    <w:p w:rsidR="00CD655B" w:rsidRDefault="00CD655B" w:rsidP="00CD655B">
      <w:pPr>
        <w:jc w:val="center"/>
        <w:rPr>
          <w:sz w:val="28"/>
          <w:szCs w:val="28"/>
        </w:rPr>
      </w:pPr>
    </w:p>
    <w:p w:rsidR="00CD655B" w:rsidRDefault="00CD655B" w:rsidP="00CD655B">
      <w:pPr>
        <w:ind w:left="10206"/>
        <w:jc w:val="center"/>
        <w:rPr>
          <w:bCs/>
        </w:rPr>
      </w:pPr>
    </w:p>
    <w:p w:rsidR="00CD655B" w:rsidRDefault="00CD655B" w:rsidP="00CD655B">
      <w:pPr>
        <w:ind w:left="10206"/>
        <w:jc w:val="center"/>
        <w:rPr>
          <w:bCs/>
        </w:rPr>
      </w:pPr>
    </w:p>
    <w:p w:rsidR="00CD655B" w:rsidRDefault="00CD655B" w:rsidP="00CD655B">
      <w:pPr>
        <w:ind w:left="10206"/>
        <w:jc w:val="right"/>
        <w:rPr>
          <w:bCs/>
        </w:rPr>
      </w:pPr>
    </w:p>
    <w:p w:rsidR="00CD655B" w:rsidRDefault="00CD655B" w:rsidP="00CD655B">
      <w:pPr>
        <w:ind w:left="10206"/>
        <w:jc w:val="right"/>
        <w:rPr>
          <w:bCs/>
        </w:rPr>
      </w:pPr>
    </w:p>
    <w:p w:rsidR="00CD655B" w:rsidRDefault="00CD655B" w:rsidP="00CD655B">
      <w:pPr>
        <w:ind w:left="10206"/>
        <w:jc w:val="right"/>
        <w:rPr>
          <w:bCs/>
        </w:rPr>
      </w:pPr>
    </w:p>
    <w:p w:rsidR="00CD655B" w:rsidRDefault="00CD655B" w:rsidP="00CD655B">
      <w:pPr>
        <w:ind w:left="10206"/>
        <w:jc w:val="right"/>
        <w:rPr>
          <w:bCs/>
        </w:rPr>
      </w:pPr>
    </w:p>
    <w:p w:rsidR="00CD655B" w:rsidRPr="004B1E8F" w:rsidRDefault="00CD655B" w:rsidP="00CD655B">
      <w:pPr>
        <w:ind w:left="10206"/>
        <w:jc w:val="right"/>
        <w:rPr>
          <w:bCs/>
        </w:rPr>
      </w:pPr>
      <w:r>
        <w:rPr>
          <w:bCs/>
        </w:rPr>
        <w:lastRenderedPageBreak/>
        <w:t xml:space="preserve"> </w:t>
      </w:r>
      <w:r w:rsidRPr="004B1E8F">
        <w:rPr>
          <w:bCs/>
        </w:rPr>
        <w:t>Приложение № 2</w:t>
      </w:r>
    </w:p>
    <w:p w:rsidR="00CD655B" w:rsidRPr="00B56235" w:rsidRDefault="00CD655B" w:rsidP="00CD655B">
      <w:pPr>
        <w:pStyle w:val="a3"/>
        <w:spacing w:after="0"/>
        <w:ind w:left="8222"/>
        <w:jc w:val="right"/>
      </w:pPr>
      <w:r w:rsidRPr="00B56235">
        <w:t>к муниципальной программе «</w:t>
      </w:r>
      <w:r w:rsidRPr="00B56235">
        <w:rPr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>
        <w:rPr>
          <w:bCs/>
        </w:rPr>
        <w:t>Гостомлянский</w:t>
      </w:r>
      <w:proofErr w:type="spellEnd"/>
      <w:r w:rsidRPr="00B56235">
        <w:rPr>
          <w:bCs/>
        </w:rPr>
        <w:t xml:space="preserve"> сельсовет» </w:t>
      </w:r>
      <w:proofErr w:type="spellStart"/>
      <w:r w:rsidRPr="00B56235">
        <w:rPr>
          <w:bCs/>
        </w:rPr>
        <w:t>Медвенского</w:t>
      </w:r>
      <w:proofErr w:type="spellEnd"/>
      <w:r w:rsidRPr="00B56235">
        <w:rPr>
          <w:bCs/>
        </w:rPr>
        <w:t xml:space="preserve"> района Курской области на период 2021 – 202</w:t>
      </w:r>
      <w:r>
        <w:rPr>
          <w:bCs/>
        </w:rPr>
        <w:t>3</w:t>
      </w:r>
      <w:r w:rsidRPr="00B56235">
        <w:rPr>
          <w:bCs/>
        </w:rPr>
        <w:t xml:space="preserve"> годы</w:t>
      </w:r>
      <w:r w:rsidRPr="00B56235">
        <w:t>»</w:t>
      </w:r>
    </w:p>
    <w:p w:rsidR="00CD655B" w:rsidRPr="004B1E8F" w:rsidRDefault="00CD655B" w:rsidP="00CD655B">
      <w:pPr>
        <w:ind w:left="10206"/>
        <w:jc w:val="right"/>
        <w:rPr>
          <w:bCs/>
        </w:rPr>
      </w:pPr>
    </w:p>
    <w:p w:rsidR="00CD655B" w:rsidRDefault="00CD655B" w:rsidP="00CD655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B1E8F">
        <w:rPr>
          <w:b/>
        </w:rPr>
        <w:t xml:space="preserve">Перечень мероприятий муниципальной программы </w:t>
      </w:r>
      <w:r w:rsidRPr="0057278D">
        <w:rPr>
          <w:b/>
        </w:rPr>
        <w:t>«</w:t>
      </w:r>
      <w:r w:rsidRPr="0057278D">
        <w:rPr>
          <w:b/>
          <w:bCs/>
        </w:rPr>
        <w:t>Энергосбережение и повышение энергетической эффективности в муниципальном образовании «</w:t>
      </w:r>
      <w:proofErr w:type="spellStart"/>
      <w:r>
        <w:rPr>
          <w:b/>
          <w:bCs/>
        </w:rPr>
        <w:t>Гостомлянский</w:t>
      </w:r>
      <w:proofErr w:type="spellEnd"/>
      <w:r w:rsidRPr="0057278D">
        <w:rPr>
          <w:b/>
          <w:bCs/>
        </w:rPr>
        <w:t xml:space="preserve"> сельсовет» </w:t>
      </w:r>
      <w:proofErr w:type="spellStart"/>
      <w:r w:rsidRPr="0057278D">
        <w:rPr>
          <w:b/>
          <w:bCs/>
        </w:rPr>
        <w:t>Медвенского</w:t>
      </w:r>
      <w:proofErr w:type="spellEnd"/>
      <w:r w:rsidRPr="0057278D">
        <w:rPr>
          <w:b/>
          <w:bCs/>
        </w:rPr>
        <w:t xml:space="preserve"> района Курской области на период 2021 – 2025 годы</w:t>
      </w:r>
      <w:r w:rsidRPr="0057278D">
        <w:rPr>
          <w:b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315"/>
        <w:gridCol w:w="993"/>
        <w:gridCol w:w="1417"/>
        <w:gridCol w:w="1134"/>
        <w:gridCol w:w="1134"/>
        <w:gridCol w:w="851"/>
        <w:gridCol w:w="850"/>
        <w:gridCol w:w="992"/>
        <w:gridCol w:w="993"/>
        <w:gridCol w:w="992"/>
        <w:gridCol w:w="992"/>
        <w:gridCol w:w="1985"/>
      </w:tblGrid>
      <w:tr w:rsidR="00CD655B" w:rsidRPr="005C5498" w:rsidTr="009E422A">
        <w:trPr>
          <w:cantSplit/>
          <w:trHeight w:val="1203"/>
        </w:trPr>
        <w:tc>
          <w:tcPr>
            <w:tcW w:w="628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 xml:space="preserve">№ </w:t>
            </w:r>
            <w:proofErr w:type="gramStart"/>
            <w:r w:rsidRPr="005C5498">
              <w:rPr>
                <w:b/>
              </w:rPr>
              <w:t>п</w:t>
            </w:r>
            <w:proofErr w:type="gramEnd"/>
            <w:r w:rsidRPr="005C5498">
              <w:rPr>
                <w:b/>
              </w:rPr>
              <w:t>/п</w:t>
            </w:r>
          </w:p>
        </w:tc>
        <w:tc>
          <w:tcPr>
            <w:tcW w:w="2315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Сроки выполнения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Исполнители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Направления расходов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Объемы финансирования (руб.)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C5498">
              <w:t>Ожидаемый результат (в натуральном выражении - целевые значения)</w:t>
            </w:r>
          </w:p>
        </w:tc>
      </w:tr>
      <w:tr w:rsidR="00CD655B" w:rsidRPr="005C5498" w:rsidTr="009E422A">
        <w:tc>
          <w:tcPr>
            <w:tcW w:w="628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Всего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t>в том числе:</w:t>
            </w:r>
          </w:p>
        </w:tc>
        <w:tc>
          <w:tcPr>
            <w:tcW w:w="1985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D655B" w:rsidRPr="005C5498" w:rsidTr="009E422A">
        <w:trPr>
          <w:trHeight w:val="559"/>
        </w:trPr>
        <w:tc>
          <w:tcPr>
            <w:tcW w:w="628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2025</w:t>
            </w:r>
          </w:p>
        </w:tc>
        <w:tc>
          <w:tcPr>
            <w:tcW w:w="1985" w:type="dxa"/>
            <w:vMerge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D655B" w:rsidRPr="005C5498" w:rsidTr="009E422A">
        <w:tc>
          <w:tcPr>
            <w:tcW w:w="15276" w:type="dxa"/>
            <w:gridSpan w:val="13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firstLine="709"/>
              <w:outlineLvl w:val="1"/>
              <w:rPr>
                <w:b/>
              </w:rPr>
            </w:pPr>
            <w:r w:rsidRPr="005C5498">
              <w:rPr>
                <w:b/>
                <w:bCs/>
              </w:rPr>
              <w:t xml:space="preserve">Муниципальная программа: </w:t>
            </w:r>
            <w:r w:rsidRPr="005C5498">
              <w:rPr>
                <w:b/>
              </w:rPr>
              <w:t>«</w:t>
            </w:r>
            <w:r w:rsidRPr="005C5498">
              <w:rPr>
                <w:b/>
                <w:bCs/>
              </w:rPr>
              <w:t>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</w:rPr>
              <w:t>Гостомлянский</w:t>
            </w:r>
            <w:proofErr w:type="spellEnd"/>
            <w:r w:rsidRPr="005C5498">
              <w:rPr>
                <w:b/>
                <w:bCs/>
              </w:rPr>
              <w:t xml:space="preserve"> сельсовет» </w:t>
            </w:r>
            <w:proofErr w:type="spellStart"/>
            <w:r w:rsidRPr="005C5498">
              <w:rPr>
                <w:b/>
                <w:bCs/>
              </w:rPr>
              <w:t>Медвенского</w:t>
            </w:r>
            <w:proofErr w:type="spellEnd"/>
            <w:r w:rsidRPr="005C5498">
              <w:rPr>
                <w:b/>
                <w:bCs/>
              </w:rPr>
              <w:t xml:space="preserve"> района Курской области на период 2021 – 2025 годы</w:t>
            </w:r>
            <w:r w:rsidRPr="005C5498">
              <w:rPr>
                <w:b/>
              </w:rPr>
              <w:t>»</w:t>
            </w:r>
          </w:p>
        </w:tc>
      </w:tr>
      <w:tr w:rsidR="00CD655B" w:rsidRPr="005C5498" w:rsidTr="009E422A">
        <w:tc>
          <w:tcPr>
            <w:tcW w:w="15276" w:type="dxa"/>
            <w:gridSpan w:val="13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firstLine="709"/>
              <w:outlineLvl w:val="1"/>
              <w:rPr>
                <w:b/>
              </w:rPr>
            </w:pPr>
            <w:r w:rsidRPr="005C5498">
              <w:rPr>
                <w:b/>
              </w:rPr>
              <w:t xml:space="preserve">Цель № 1: Улучшение условий и качества жизни населения </w:t>
            </w:r>
            <w:proofErr w:type="spellStart"/>
            <w:r>
              <w:rPr>
                <w:b/>
              </w:rPr>
              <w:t>Гостомлянского</w:t>
            </w:r>
            <w:proofErr w:type="spellEnd"/>
            <w:r w:rsidRPr="005C5498">
              <w:rPr>
                <w:b/>
              </w:rPr>
              <w:t xml:space="preserve"> сельсовета, переход экономики </w:t>
            </w:r>
            <w:proofErr w:type="spellStart"/>
            <w:r>
              <w:rPr>
                <w:b/>
              </w:rPr>
              <w:t>Гостомлянского</w:t>
            </w:r>
            <w:proofErr w:type="spellEnd"/>
            <w:r w:rsidRPr="005C5498">
              <w:rPr>
                <w:b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CD655B" w:rsidRPr="005C5498" w:rsidTr="009E422A">
        <w:tc>
          <w:tcPr>
            <w:tcW w:w="15276" w:type="dxa"/>
            <w:gridSpan w:val="13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ind w:firstLine="709"/>
              <w:outlineLvl w:val="1"/>
              <w:rPr>
                <w:b/>
              </w:rPr>
            </w:pPr>
            <w:r w:rsidRPr="005C5498">
              <w:rPr>
                <w:b/>
                <w:color w:val="050305"/>
              </w:rPr>
              <w:t xml:space="preserve">Задача 1: </w:t>
            </w:r>
            <w:r w:rsidRPr="005C5498">
              <w:rPr>
                <w:b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CD655B" w:rsidRPr="0017545A" w:rsidTr="009E422A">
        <w:tc>
          <w:tcPr>
            <w:tcW w:w="628" w:type="dxa"/>
            <w:shd w:val="clear" w:color="auto" w:fill="auto"/>
          </w:tcPr>
          <w:p w:rsidR="00CD655B" w:rsidRPr="00CE5782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 w:rsidRPr="00CE5782">
              <w:t>1.1.</w:t>
            </w:r>
          </w:p>
        </w:tc>
        <w:tc>
          <w:tcPr>
            <w:tcW w:w="2315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outlineLvl w:val="1"/>
            </w:pPr>
            <w:r w:rsidRPr="005C5498">
              <w:t>подготовка и проведение организационных мероприятий, 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  <w:shd w:val="clear" w:color="auto" w:fill="auto"/>
          </w:tcPr>
          <w:p w:rsidR="00CD655B" w:rsidRPr="008B2007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8B2007">
              <w:rPr>
                <w:szCs w:val="20"/>
              </w:rPr>
              <w:t>2021 - 2025гг.</w:t>
            </w:r>
          </w:p>
        </w:tc>
        <w:tc>
          <w:tcPr>
            <w:tcW w:w="1417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B2007">
              <w:rPr>
                <w:rFonts w:ascii="Arial" w:hAnsi="Arial" w:cs="Arial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8B200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B200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B200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CD655B" w:rsidRPr="0017545A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 w:rsidRPr="004B1E8F">
              <w:t>Реализация мероприятия способствует достижению показателей указанных в приложении №1</w:t>
            </w:r>
          </w:p>
        </w:tc>
      </w:tr>
      <w:tr w:rsidR="00CD655B" w:rsidRPr="005C5498" w:rsidTr="009E422A">
        <w:tc>
          <w:tcPr>
            <w:tcW w:w="628" w:type="dxa"/>
            <w:shd w:val="clear" w:color="auto" w:fill="auto"/>
          </w:tcPr>
          <w:p w:rsidR="00CD655B" w:rsidRPr="00CE5782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</w:pPr>
            <w:r w:rsidRPr="00CE5782">
              <w:t>1.2.</w:t>
            </w:r>
          </w:p>
        </w:tc>
        <w:tc>
          <w:tcPr>
            <w:tcW w:w="2315" w:type="dxa"/>
            <w:shd w:val="clear" w:color="auto" w:fill="auto"/>
          </w:tcPr>
          <w:p w:rsidR="00CD655B" w:rsidRPr="008B2007" w:rsidRDefault="00CD655B" w:rsidP="009E422A">
            <w:pPr>
              <w:pStyle w:val="a7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2007">
              <w:rPr>
                <w:rFonts w:ascii="Arial" w:hAnsi="Arial" w:cs="Arial"/>
                <w:sz w:val="20"/>
                <w:szCs w:val="20"/>
              </w:rPr>
              <w:t xml:space="preserve">завершение замены ламп накаливания на </w:t>
            </w:r>
            <w:proofErr w:type="spellStart"/>
            <w:r w:rsidRPr="008B2007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8B2007">
              <w:rPr>
                <w:rFonts w:ascii="Arial" w:hAnsi="Arial" w:cs="Arial"/>
                <w:sz w:val="20"/>
                <w:szCs w:val="20"/>
              </w:rPr>
              <w:t>-эффективные,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CD655B" w:rsidRPr="008B2007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0"/>
              </w:rPr>
            </w:pPr>
            <w:r w:rsidRPr="008B2007">
              <w:rPr>
                <w:szCs w:val="20"/>
              </w:rPr>
              <w:t>2021 - 2025гг.</w:t>
            </w:r>
          </w:p>
        </w:tc>
        <w:tc>
          <w:tcPr>
            <w:tcW w:w="1417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B2007">
              <w:rPr>
                <w:rFonts w:ascii="Arial" w:hAnsi="Arial" w:cs="Arial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8B200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B2007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shd w:val="clear" w:color="auto" w:fill="auto"/>
          </w:tcPr>
          <w:p w:rsidR="00CD655B" w:rsidRPr="008B2007" w:rsidRDefault="00CD655B" w:rsidP="009E422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B200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B1E8F">
              <w:t>Реализация мероприятия способствует достижению показателей указанных в приложении №1</w:t>
            </w:r>
          </w:p>
        </w:tc>
      </w:tr>
      <w:tr w:rsidR="00CD655B" w:rsidRPr="005C5498" w:rsidTr="009E422A">
        <w:tc>
          <w:tcPr>
            <w:tcW w:w="628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:rsidR="00CD655B" w:rsidRPr="005C5498" w:rsidRDefault="00CD655B" w:rsidP="009E422A">
            <w:pPr>
              <w:rPr>
                <w:b/>
              </w:rPr>
            </w:pPr>
            <w:r w:rsidRPr="005C5498"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D655B" w:rsidRPr="005C5498" w:rsidRDefault="00CD655B" w:rsidP="009E42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55B" w:rsidRPr="005C5498" w:rsidRDefault="00CD655B" w:rsidP="009E42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55B" w:rsidRPr="005C5498" w:rsidRDefault="00CD655B" w:rsidP="009E422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25</w:t>
            </w:r>
            <w:r w:rsidRPr="005C5498">
              <w:rPr>
                <w:b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5</w:t>
            </w:r>
            <w:r w:rsidRPr="005C5498">
              <w:rPr>
                <w:b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5 000</w:t>
            </w:r>
          </w:p>
        </w:tc>
        <w:tc>
          <w:tcPr>
            <w:tcW w:w="993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5 000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5 000</w:t>
            </w:r>
          </w:p>
        </w:tc>
        <w:tc>
          <w:tcPr>
            <w:tcW w:w="992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C5498">
              <w:rPr>
                <w:b/>
              </w:rPr>
              <w:t>5 000</w:t>
            </w:r>
          </w:p>
        </w:tc>
        <w:tc>
          <w:tcPr>
            <w:tcW w:w="1985" w:type="dxa"/>
            <w:shd w:val="clear" w:color="auto" w:fill="auto"/>
          </w:tcPr>
          <w:p w:rsidR="00CD655B" w:rsidRPr="005C5498" w:rsidRDefault="00CD655B" w:rsidP="009E422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564F14" w:rsidRDefault="00564F14"/>
    <w:sectPr w:rsidR="00564F14" w:rsidSect="00CD655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2" w:rsidRDefault="00CD655B" w:rsidP="00AC199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59B2" w:rsidRDefault="00CD65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2" w:rsidRDefault="00CD655B">
    <w:pPr>
      <w:pStyle w:val="a8"/>
      <w:jc w:val="center"/>
    </w:pPr>
  </w:p>
  <w:p w:rsidR="002259B2" w:rsidRDefault="00CD65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B"/>
    <w:rsid w:val="00564F14"/>
    <w:rsid w:val="006D785B"/>
    <w:rsid w:val="00C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55B"/>
    <w:pPr>
      <w:spacing w:after="120"/>
    </w:pPr>
  </w:style>
  <w:style w:type="character" w:customStyle="1" w:styleId="a4">
    <w:name w:val="Основной текст Знак"/>
    <w:basedOn w:val="a0"/>
    <w:link w:val="a3"/>
    <w:rsid w:val="00CD655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CD6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 Spacing"/>
    <w:link w:val="a6"/>
    <w:qFormat/>
    <w:rsid w:val="00CD655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CD6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basedOn w:val="a"/>
    <w:rsid w:val="00CD655B"/>
    <w:rPr>
      <w:rFonts w:eastAsia="Arial" w:cs="Arial"/>
      <w:szCs w:val="20"/>
    </w:rPr>
  </w:style>
  <w:style w:type="paragraph" w:styleId="a7">
    <w:name w:val="List Paragraph"/>
    <w:aliases w:val="Ненумерованный список"/>
    <w:basedOn w:val="a"/>
    <w:uiPriority w:val="34"/>
    <w:qFormat/>
    <w:rsid w:val="00CD65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locked/>
    <w:rsid w:val="00CD655B"/>
    <w:rPr>
      <w:rFonts w:ascii="Calibri" w:eastAsia="Calibri" w:hAnsi="Calibri" w:cs="Calibri"/>
      <w:lang w:eastAsia="ar-SA"/>
    </w:rPr>
  </w:style>
  <w:style w:type="paragraph" w:styleId="a8">
    <w:name w:val="header"/>
    <w:basedOn w:val="a"/>
    <w:link w:val="a9"/>
    <w:uiPriority w:val="99"/>
    <w:rsid w:val="00CD655B"/>
    <w:pPr>
      <w:widowControl/>
      <w:tabs>
        <w:tab w:val="center" w:pos="4677"/>
        <w:tab w:val="right" w:pos="9355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x-none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CD655B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a">
    <w:name w:val="page number"/>
    <w:uiPriority w:val="99"/>
    <w:rsid w:val="00CD65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55B"/>
    <w:pPr>
      <w:spacing w:after="120"/>
    </w:pPr>
  </w:style>
  <w:style w:type="character" w:customStyle="1" w:styleId="a4">
    <w:name w:val="Основной текст Знак"/>
    <w:basedOn w:val="a0"/>
    <w:link w:val="a3"/>
    <w:rsid w:val="00CD655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CD6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 Spacing"/>
    <w:link w:val="a6"/>
    <w:qFormat/>
    <w:rsid w:val="00CD655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CD65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basedOn w:val="a"/>
    <w:rsid w:val="00CD655B"/>
    <w:rPr>
      <w:rFonts w:eastAsia="Arial" w:cs="Arial"/>
      <w:szCs w:val="20"/>
    </w:rPr>
  </w:style>
  <w:style w:type="paragraph" w:styleId="a7">
    <w:name w:val="List Paragraph"/>
    <w:aliases w:val="Ненумерованный список"/>
    <w:basedOn w:val="a"/>
    <w:uiPriority w:val="34"/>
    <w:qFormat/>
    <w:rsid w:val="00CD65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locked/>
    <w:rsid w:val="00CD655B"/>
    <w:rPr>
      <w:rFonts w:ascii="Calibri" w:eastAsia="Calibri" w:hAnsi="Calibri" w:cs="Calibri"/>
      <w:lang w:eastAsia="ar-SA"/>
    </w:rPr>
  </w:style>
  <w:style w:type="paragraph" w:styleId="a8">
    <w:name w:val="header"/>
    <w:basedOn w:val="a"/>
    <w:link w:val="a9"/>
    <w:uiPriority w:val="99"/>
    <w:rsid w:val="00CD655B"/>
    <w:pPr>
      <w:widowControl/>
      <w:tabs>
        <w:tab w:val="center" w:pos="4677"/>
        <w:tab w:val="right" w:pos="9355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x-none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CD655B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a">
    <w:name w:val="page number"/>
    <w:uiPriority w:val="99"/>
    <w:rsid w:val="00CD65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4498</Words>
  <Characters>25645</Characters>
  <Application>Microsoft Office Word</Application>
  <DocSecurity>0</DocSecurity>
  <Lines>213</Lines>
  <Paragraphs>60</Paragraphs>
  <ScaleCrop>false</ScaleCrop>
  <Company/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2021-03-17T14:24:00Z</dcterms:created>
  <dcterms:modified xsi:type="dcterms:W3CDTF">2021-03-17T14:29:00Z</dcterms:modified>
</cp:coreProperties>
</file>