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87" w:rsidRDefault="00A63987" w:rsidP="00A63987">
      <w:pPr>
        <w:pageBreakBefore/>
        <w:spacing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СОБРАНИЕ ДЕПУТАТОВ</w:t>
      </w:r>
    </w:p>
    <w:p w:rsidR="00A63987" w:rsidRDefault="00A63987" w:rsidP="00A63987">
      <w:pPr>
        <w:spacing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ГОСТОМЛЯНСКОГО СЕЛЬСОВЕТА</w:t>
      </w:r>
    </w:p>
    <w:p w:rsidR="00A63987" w:rsidRDefault="00A63987" w:rsidP="00A63987">
      <w:pPr>
        <w:pStyle w:val="a5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МЕДВЕНСКОГО РАЙОНА КУРСКОЙ ОБЛАСТИ</w:t>
      </w:r>
    </w:p>
    <w:p w:rsidR="00A63987" w:rsidRDefault="00A63987" w:rsidP="00A63987">
      <w:pPr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3987" w:rsidRDefault="00A63987" w:rsidP="00A63987">
      <w:pPr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63987" w:rsidRDefault="00A63987" w:rsidP="00A63987">
      <w:pPr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3987" w:rsidRDefault="00A63987" w:rsidP="00A63987">
      <w:pPr>
        <w:autoSpaceDE w:val="0"/>
        <w:spacing w:line="100" w:lineRule="atLeast"/>
        <w:jc w:val="both"/>
        <w:rPr>
          <w:rFonts w:ascii="Times New Roman" w:hAnsi="Times New Roman" w:cs="Courier New"/>
          <w:b/>
          <w:bCs/>
          <w:sz w:val="28"/>
          <w:szCs w:val="28"/>
        </w:rPr>
      </w:pPr>
      <w:r>
        <w:rPr>
          <w:rFonts w:ascii="Times New Roman" w:hAnsi="Times New Roman" w:cs="Courier New"/>
          <w:b/>
          <w:bCs/>
          <w:sz w:val="28"/>
          <w:szCs w:val="28"/>
        </w:rPr>
        <w:t>от 18 мая 2020 г.                        № 77/284</w:t>
      </w:r>
    </w:p>
    <w:p w:rsidR="00A63987" w:rsidRDefault="00A63987" w:rsidP="00A63987">
      <w:pPr>
        <w:autoSpaceDE w:val="0"/>
        <w:spacing w:line="100" w:lineRule="atLeast"/>
        <w:jc w:val="both"/>
        <w:rPr>
          <w:rFonts w:ascii="Times New Roman" w:hAnsi="Times New Roman" w:cs="Courier New"/>
          <w:b/>
          <w:bCs/>
          <w:sz w:val="28"/>
          <w:szCs w:val="28"/>
        </w:rPr>
      </w:pPr>
    </w:p>
    <w:p w:rsidR="00A63987" w:rsidRDefault="00A63987" w:rsidP="00A63987">
      <w:pPr>
        <w:autoSpaceDE w:val="0"/>
        <w:spacing w:line="100" w:lineRule="atLeast"/>
        <w:jc w:val="both"/>
        <w:rPr>
          <w:rFonts w:ascii="Times New Roman" w:hAnsi="Times New Roman" w:cs="Courier New"/>
          <w:b/>
          <w:bCs/>
          <w:sz w:val="28"/>
          <w:szCs w:val="28"/>
        </w:rPr>
      </w:pPr>
    </w:p>
    <w:p w:rsidR="00A63987" w:rsidRDefault="00A63987" w:rsidP="00A63987">
      <w:pPr>
        <w:spacing w:line="100" w:lineRule="atLeast"/>
        <w:ind w:right="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Собрания депутатов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Гостомлянского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от 27.05.2019 года № 61/227 «Об утверждении Положения о бюджетном процессе в муниципальном образовании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Гостомлянский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области»</w:t>
      </w:r>
    </w:p>
    <w:p w:rsidR="00A63987" w:rsidRDefault="00A63987" w:rsidP="00A63987">
      <w:pPr>
        <w:spacing w:line="100" w:lineRule="atLeast"/>
        <w:ind w:right="337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987" w:rsidRDefault="00A63987" w:rsidP="00A63987">
      <w:pPr>
        <w:spacing w:line="100" w:lineRule="atLeast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Гостомлянский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Гостомлянского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решило:</w:t>
      </w:r>
    </w:p>
    <w:p w:rsidR="00A63987" w:rsidRDefault="00A63987" w:rsidP="00A63987">
      <w:pPr>
        <w:spacing w:line="100" w:lineRule="atLeast"/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Гостомлянского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27.05.2019 года №61/227 «Об утверждении Положения о бюджетном процессе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Гостомлянский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 следующие изменения:  </w:t>
      </w:r>
    </w:p>
    <w:p w:rsidR="00A63987" w:rsidRDefault="00A63987" w:rsidP="00A63987">
      <w:pPr>
        <w:spacing w:line="100" w:lineRule="atLeast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абзацы 2-4 пункта 5 статьи 30 Положения изложить в следующей редакции:</w:t>
      </w:r>
    </w:p>
    <w:p w:rsidR="00A63987" w:rsidRDefault="00A63987" w:rsidP="00A63987">
      <w:pPr>
        <w:spacing w:line="1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«оценки надежности внутреннего процесса главного администратора бюджетных средств, администратора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- внутренний финансовый контроль), и подготовки предложений об организации внутреннего финансового контроля; </w:t>
      </w:r>
    </w:p>
    <w:p w:rsidR="00A63987" w:rsidRDefault="00A63987" w:rsidP="00A63987">
      <w:pPr>
        <w:spacing w:line="1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внутренним актам, принятым в соответствии с </w:t>
      </w:r>
      <w:hyperlink r:id="rId5" w:history="1">
        <w:r>
          <w:rPr>
            <w:rStyle w:val="a4"/>
            <w:rFonts w:ascii="Times New Roman" w:hAnsi="Times New Roman"/>
          </w:rPr>
          <w:t>пунктом 5 статьи 264.1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  <w:proofErr w:type="gramEnd"/>
    </w:p>
    <w:p w:rsidR="00A63987" w:rsidRDefault="00A63987" w:rsidP="00A63987">
      <w:pPr>
        <w:spacing w:line="1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«повышения качества финансового менеджмента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63987" w:rsidRDefault="00A63987" w:rsidP="00A63987">
      <w:pPr>
        <w:spacing w:line="1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статью 33 Положения изложить в новой редакции:  </w:t>
      </w:r>
    </w:p>
    <w:p w:rsidR="00A63987" w:rsidRDefault="00A63987" w:rsidP="00A63987">
      <w:pPr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33. Полномочия органа внутреннего муниципального финансового контроля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Гостомлянского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по осуществлению внутреннего 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финансового контроля</w:t>
      </w:r>
    </w:p>
    <w:p w:rsidR="00A63987" w:rsidRDefault="00A63987" w:rsidP="00A63987">
      <w:pPr>
        <w:pStyle w:val="a5"/>
        <w:widowControl/>
        <w:spacing w:after="0"/>
        <w:ind w:firstLine="7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Полномочиями органов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A63987" w:rsidRDefault="00A63987" w:rsidP="00A63987">
      <w:pPr>
        <w:pStyle w:val="a5"/>
        <w:widowControl/>
        <w:spacing w:after="0"/>
        <w:ind w:firstLine="75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A63987" w:rsidRDefault="00A63987" w:rsidP="00A63987">
      <w:pPr>
        <w:pStyle w:val="a5"/>
        <w:widowControl/>
        <w:spacing w:after="0"/>
        <w:ind w:firstLine="75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A63987" w:rsidRDefault="00A63987" w:rsidP="00A63987">
      <w:pPr>
        <w:pStyle w:val="a5"/>
        <w:widowControl/>
        <w:spacing w:after="0"/>
        <w:ind w:firstLine="75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A63987" w:rsidRDefault="00A63987" w:rsidP="00A63987">
      <w:pPr>
        <w:pStyle w:val="a5"/>
        <w:widowControl/>
        <w:spacing w:after="0"/>
        <w:ind w:firstLine="7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значений показателей результативности предоставления средств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из бюджета;</w:t>
      </w:r>
    </w:p>
    <w:p w:rsidR="00A63987" w:rsidRDefault="00A63987" w:rsidP="00A63987">
      <w:pPr>
        <w:pStyle w:val="a5"/>
        <w:widowControl/>
        <w:spacing w:after="0"/>
        <w:ind w:firstLine="7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63987" w:rsidRDefault="00A63987" w:rsidP="00A63987">
      <w:pPr>
        <w:pStyle w:val="a5"/>
        <w:widowControl/>
        <w:spacing w:after="0"/>
        <w:ind w:firstLine="7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При осуществлении полномочий по внутреннему муниципальному финансовому контролю органами внутреннего муниципального финансового контроля:</w:t>
      </w:r>
    </w:p>
    <w:p w:rsidR="00A63987" w:rsidRDefault="00A63987" w:rsidP="00A63987">
      <w:pPr>
        <w:pStyle w:val="a5"/>
        <w:widowControl/>
        <w:spacing w:after="0"/>
        <w:ind w:firstLine="7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проводятся проверки, ревизии и обследования;</w:t>
      </w:r>
    </w:p>
    <w:p w:rsidR="00A63987" w:rsidRDefault="00A63987" w:rsidP="00A63987">
      <w:pPr>
        <w:pStyle w:val="a5"/>
        <w:widowControl/>
        <w:spacing w:after="0"/>
        <w:ind w:firstLine="7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направляются объектам контроля акты, заключения, представления и (или) предписания;</w:t>
      </w:r>
    </w:p>
    <w:p w:rsidR="00A63987" w:rsidRDefault="00A63987" w:rsidP="00A63987">
      <w:pPr>
        <w:pStyle w:val="a5"/>
        <w:widowControl/>
        <w:spacing w:after="0"/>
        <w:ind w:firstLine="7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направляются финансовым органам (органам управления государственными внебюджетными фондами) уведомления о применении бюджетных мер принуждения;</w:t>
      </w:r>
    </w:p>
    <w:p w:rsidR="00A63987" w:rsidRDefault="00A63987" w:rsidP="00A63987">
      <w:pPr>
        <w:pStyle w:val="a5"/>
        <w:widowControl/>
        <w:spacing w:after="0"/>
        <w:ind w:firstLine="7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A63987" w:rsidRDefault="00A63987" w:rsidP="00A63987">
      <w:pPr>
        <w:pStyle w:val="a5"/>
        <w:widowControl/>
        <w:spacing w:after="0"/>
        <w:ind w:firstLine="7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назначается (организуется) проведение экспертиз, необходимых для проведения проверок, ревизий и обследований;</w:t>
      </w:r>
    </w:p>
    <w:p w:rsidR="00A63987" w:rsidRDefault="00A63987" w:rsidP="00A63987">
      <w:pPr>
        <w:pStyle w:val="a5"/>
        <w:widowControl/>
        <w:spacing w:after="0"/>
        <w:ind w:firstLine="7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A63987" w:rsidRDefault="00A63987" w:rsidP="00A63987">
      <w:pPr>
        <w:pStyle w:val="a5"/>
        <w:widowControl/>
        <w:spacing w:after="0"/>
        <w:ind w:firstLine="7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направляются в суд иски о признании осуществленных закупок товаров, работ, услуг для обеспечения муниципальных нужд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недействительными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соответствии с Гражданским кодексом Российской Федерации.</w:t>
      </w:r>
    </w:p>
    <w:p w:rsidR="00A63987" w:rsidRDefault="00A63987" w:rsidP="00A63987">
      <w:pPr>
        <w:pStyle w:val="a5"/>
        <w:widowControl/>
        <w:spacing w:after="0"/>
        <w:ind w:firstLine="7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федеральными законами, нормативными правовыми актами Правительства Российской Федерации, Администрации Курской области, муниципальными правовыми актами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Гостомлянского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сельсовета, а также стандартами осуществления внутреннего муниципального финансового контроля.</w:t>
      </w:r>
    </w:p>
    <w:p w:rsidR="00A63987" w:rsidRDefault="00A63987" w:rsidP="00A63987">
      <w:pPr>
        <w:pStyle w:val="a5"/>
        <w:widowControl/>
        <w:spacing w:after="0"/>
        <w:ind w:firstLine="75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проведения, права и обязанности должностных лиц органов внутреннего муниципального финансового контроля, права и обязанности объектов контроля (их должностных лиц), в том числе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 организационно-техническому обеспечению проверок, ревизий и обследований, осуществляемых должностными лицами органов внутреннего муниципального финансового контроля.</w:t>
      </w:r>
    </w:p>
    <w:p w:rsidR="00A63987" w:rsidRDefault="00A63987" w:rsidP="00A63987">
      <w:pPr>
        <w:pStyle w:val="a5"/>
        <w:widowControl/>
        <w:spacing w:after="0"/>
        <w:ind w:firstLine="75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Стандарты осуществления внутреннего муниципального финансового контроля утверждаются соответственно Министерством финансов Российской Федерации, уполномоченным органом исполнительной власти Курской области,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контролю, определенным соответственно федеральными законами, нормативными правовыми актами Правительства Российской Федерации, Администрации Курской области, муниципальными правовыми актами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Гостомлянского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сельсовета.”.</w:t>
      </w:r>
      <w:proofErr w:type="gramEnd"/>
    </w:p>
    <w:p w:rsidR="00A63987" w:rsidRDefault="00A63987" w:rsidP="00A63987">
      <w:pPr>
        <w:spacing w:line="100" w:lineRule="atLeast"/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Гостомлянский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 сети Интернет.</w:t>
      </w:r>
    </w:p>
    <w:p w:rsidR="00A63987" w:rsidRDefault="00A63987" w:rsidP="00A63987">
      <w:pPr>
        <w:spacing w:line="100" w:lineRule="atLeast"/>
        <w:ind w:firstLine="7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3987" w:rsidRDefault="00A63987" w:rsidP="00A63987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A63987" w:rsidRDefault="00A63987" w:rsidP="00A63987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Гостомлянского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63987" w:rsidRDefault="00A63987" w:rsidP="00A63987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Т.В.Коновалова</w:t>
      </w:r>
      <w:proofErr w:type="spellEnd"/>
    </w:p>
    <w:p w:rsidR="00A63987" w:rsidRDefault="00A63987" w:rsidP="00A63987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3987" w:rsidRDefault="00A63987" w:rsidP="00A63987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Гостомлянского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A63987" w:rsidRDefault="00A63987" w:rsidP="00A63987">
      <w:pPr>
        <w:shd w:val="clear" w:color="auto" w:fill="FFFFFF"/>
        <w:tabs>
          <w:tab w:val="left" w:pos="3416"/>
        </w:tabs>
        <w:spacing w:line="276" w:lineRule="auto"/>
        <w:ind w:firstLine="15"/>
        <w:jc w:val="both"/>
        <w:rPr>
          <w:rStyle w:val="a3"/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shd w:val="clear" w:color="auto" w:fill="FFFFFF"/>
          <w:lang w:eastAsia="ar-SA" w:bidi="ar-SA"/>
        </w:rPr>
      </w:pPr>
      <w:proofErr w:type="spellStart"/>
      <w:r>
        <w:rPr>
          <w:rStyle w:val="a3"/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shd w:val="clear" w:color="auto" w:fill="FFFFFF"/>
          <w:lang w:eastAsia="ar-SA" w:bidi="ar-SA"/>
        </w:rPr>
        <w:lastRenderedPageBreak/>
        <w:t>Медвенского</w:t>
      </w:r>
      <w:proofErr w:type="spellEnd"/>
      <w:r>
        <w:rPr>
          <w:rStyle w:val="a3"/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shd w:val="clear" w:color="auto" w:fill="FFFFFF"/>
          <w:lang w:eastAsia="ar-SA" w:bidi="ar-SA"/>
        </w:rPr>
        <w:t xml:space="preserve"> района                                                                   </w:t>
      </w:r>
      <w:proofErr w:type="spellStart"/>
      <w:r>
        <w:rPr>
          <w:rStyle w:val="a3"/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shd w:val="clear" w:color="auto" w:fill="FFFFFF"/>
          <w:lang w:eastAsia="ar-SA" w:bidi="ar-SA"/>
        </w:rPr>
        <w:t>Л.М.Щедрина</w:t>
      </w:r>
      <w:proofErr w:type="spellEnd"/>
    </w:p>
    <w:p w:rsidR="003A7F52" w:rsidRDefault="00A63987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D0"/>
    <w:rsid w:val="0030799A"/>
    <w:rsid w:val="00A63987"/>
    <w:rsid w:val="00B67EB4"/>
    <w:rsid w:val="00CB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98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63987"/>
    <w:rPr>
      <w:b/>
      <w:bCs/>
    </w:rPr>
  </w:style>
  <w:style w:type="character" w:styleId="a4">
    <w:name w:val="Hyperlink"/>
    <w:basedOn w:val="a0"/>
    <w:rsid w:val="00A63987"/>
    <w:rPr>
      <w:color w:val="000080"/>
      <w:u w:val="single"/>
    </w:rPr>
  </w:style>
  <w:style w:type="paragraph" w:styleId="a5">
    <w:name w:val="Body Text"/>
    <w:basedOn w:val="a"/>
    <w:link w:val="a6"/>
    <w:rsid w:val="00A63987"/>
    <w:pPr>
      <w:spacing w:after="120"/>
    </w:pPr>
  </w:style>
  <w:style w:type="character" w:customStyle="1" w:styleId="a6">
    <w:name w:val="Основной текст Знак"/>
    <w:basedOn w:val="a0"/>
    <w:link w:val="a5"/>
    <w:rsid w:val="00A63987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98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63987"/>
    <w:rPr>
      <w:b/>
      <w:bCs/>
    </w:rPr>
  </w:style>
  <w:style w:type="character" w:styleId="a4">
    <w:name w:val="Hyperlink"/>
    <w:basedOn w:val="a0"/>
    <w:rsid w:val="00A63987"/>
    <w:rPr>
      <w:color w:val="000080"/>
      <w:u w:val="single"/>
    </w:rPr>
  </w:style>
  <w:style w:type="paragraph" w:styleId="a5">
    <w:name w:val="Body Text"/>
    <w:basedOn w:val="a"/>
    <w:link w:val="a6"/>
    <w:rsid w:val="00A63987"/>
    <w:pPr>
      <w:spacing w:after="120"/>
    </w:pPr>
  </w:style>
  <w:style w:type="character" w:customStyle="1" w:styleId="a6">
    <w:name w:val="Основной текст Знак"/>
    <w:basedOn w:val="a0"/>
    <w:link w:val="a5"/>
    <w:rsid w:val="00A63987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27958/a822d521b7e939dc36b96b17da82719f28c22c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6289</Characters>
  <Application>Microsoft Office Word</Application>
  <DocSecurity>0</DocSecurity>
  <Lines>52</Lines>
  <Paragraphs>14</Paragraphs>
  <ScaleCrop>false</ScaleCrop>
  <Company>HP</Company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2022-03-28T08:39:00Z</dcterms:created>
  <dcterms:modified xsi:type="dcterms:W3CDTF">2022-03-28T08:39:00Z</dcterms:modified>
</cp:coreProperties>
</file>