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3E" w:rsidRDefault="00B13E3E" w:rsidP="00B13E3E">
      <w:pPr>
        <w:pStyle w:val="a5"/>
        <w:spacing w:after="0"/>
        <w:ind w:firstLine="73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РОССИЙСКАЯ ФЕДЕРАЦИЯ</w:t>
      </w:r>
    </w:p>
    <w:p w:rsidR="00B13E3E" w:rsidRDefault="00B13E3E" w:rsidP="00B13E3E">
      <w:pPr>
        <w:pStyle w:val="a5"/>
        <w:spacing w:after="0"/>
        <w:ind w:firstLine="73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КУРСКАЯ ОБЛАСТЬ МЕДВЕНСКИЙ РАЙОН</w:t>
      </w:r>
    </w:p>
    <w:p w:rsidR="00B13E3E" w:rsidRDefault="00B13E3E" w:rsidP="00B13E3E">
      <w:pPr>
        <w:pStyle w:val="a5"/>
        <w:spacing w:after="0"/>
        <w:ind w:firstLine="73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СОБРАНИЕ ДЕПУТАТОВ</w:t>
      </w:r>
    </w:p>
    <w:p w:rsidR="00B13E3E" w:rsidRDefault="00B13E3E" w:rsidP="00B13E3E">
      <w:pPr>
        <w:pStyle w:val="a5"/>
        <w:spacing w:after="0"/>
        <w:ind w:firstLine="73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ГОСТОМЛЯНСКОГО СЕЛЬСОВЕТА</w:t>
      </w:r>
    </w:p>
    <w:p w:rsidR="00B13E3E" w:rsidRDefault="00B13E3E" w:rsidP="00B13E3E">
      <w:pPr>
        <w:pStyle w:val="a5"/>
        <w:spacing w:after="0"/>
        <w:ind w:firstLine="737"/>
        <w:jc w:val="center"/>
      </w:pPr>
    </w:p>
    <w:p w:rsidR="00B13E3E" w:rsidRDefault="00B13E3E" w:rsidP="00B13E3E">
      <w:pPr>
        <w:pStyle w:val="a5"/>
        <w:spacing w:after="0"/>
        <w:ind w:firstLine="737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РЕШЕНИЕ</w:t>
      </w:r>
    </w:p>
    <w:p w:rsidR="00B13E3E" w:rsidRDefault="00B13E3E" w:rsidP="00B13E3E">
      <w:pPr>
        <w:pStyle w:val="a5"/>
        <w:spacing w:after="0"/>
        <w:ind w:firstLine="737"/>
        <w:jc w:val="center"/>
      </w:pPr>
    </w:p>
    <w:p w:rsidR="00B13E3E" w:rsidRDefault="00B13E3E" w:rsidP="00B13E3E">
      <w:pPr>
        <w:pStyle w:val="a5"/>
        <w:spacing w:after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>26.04.2016 года № 11/45</w:t>
      </w:r>
    </w:p>
    <w:p w:rsidR="00B13E3E" w:rsidRDefault="00B13E3E" w:rsidP="00B13E3E">
      <w:pPr>
        <w:pStyle w:val="a5"/>
        <w:spacing w:after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ind w:firstLine="737"/>
        <w:jc w:val="center"/>
        <w:rPr>
          <w:rFonts w:ascii="Times New Roman" w:eastAsia="Times New Roman CYR" w:hAnsi="Times New Roman" w:cs="Times New Roman CYR"/>
          <w:b/>
          <w:bCs/>
          <w:color w:val="000000"/>
          <w:spacing w:val="4"/>
          <w:w w:val="93"/>
          <w:sz w:val="28"/>
          <w:szCs w:val="28"/>
          <w:lang w:eastAsia="ar-SA" w:bidi="ar-SA"/>
        </w:rPr>
      </w:pPr>
      <w:r>
        <w:rPr>
          <w:rFonts w:ascii="Times New Roman" w:eastAsia="Times New Roman CYR" w:hAnsi="Times New Roman" w:cs="Times New Roman CYR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 xml:space="preserve">Об утверждении Положения об инвестиционной деятельности на территории муниципального образования </w:t>
      </w:r>
      <w:r w:rsidRPr="00B13E3E"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>«Г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>остомлянский</w:t>
      </w:r>
      <w:proofErr w:type="spellEnd"/>
      <w:r w:rsidRPr="00B13E3E"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 CYR" w:hAnsi="Times New Roman" w:cs="Times New Roman CYR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>сельсовет</w:t>
      </w:r>
      <w:r w:rsidRPr="00B13E3E"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 xml:space="preserve">» </w:t>
      </w:r>
      <w:proofErr w:type="spellStart"/>
      <w:r>
        <w:rPr>
          <w:rFonts w:ascii="Times New Roman" w:eastAsia="Times New Roman CYR" w:hAnsi="Times New Roman" w:cs="Times New Roman CYR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>Медвенского</w:t>
      </w:r>
      <w:proofErr w:type="spellEnd"/>
      <w:r>
        <w:rPr>
          <w:rFonts w:ascii="Times New Roman" w:eastAsia="Times New Roman CYR" w:hAnsi="Times New Roman" w:cs="Times New Roman CYR"/>
          <w:b/>
          <w:bCs/>
          <w:color w:val="000000"/>
          <w:spacing w:val="4"/>
          <w:w w:val="93"/>
          <w:sz w:val="28"/>
          <w:szCs w:val="28"/>
          <w:lang w:eastAsia="ar-SA" w:bidi="ar-SA"/>
        </w:rPr>
        <w:t xml:space="preserve"> района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 CYR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</w:rPr>
          <w:t>законом</w:t>
        </w:r>
      </w:hyperlink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от 25.02.1999 №39-ФЗ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fldChar w:fldCharType="begin"/>
      </w:r>
      <w:r>
        <w:instrText xml:space="preserve"> HYPERLINK "consultantplus://offline/ref=4ED8FF428A172958C8930787A0DA81516B2163944CAC1019E628D55C4CD4748059t7I"</w:instrText>
      </w:r>
      <w:r>
        <w:fldChar w:fldCharType="separate"/>
      </w:r>
      <w:r>
        <w:rPr>
          <w:rStyle w:val="a3"/>
          <w:rFonts w:ascii="Times New Roman" w:hAnsi="Times New Roman"/>
        </w:rPr>
        <w:t>Законом</w:t>
      </w:r>
      <w:r>
        <w:fldChar w:fldCharType="end"/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Курской области от 12.08.2004 №37-ЗКО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sz w:val="28"/>
          <w:szCs w:val="28"/>
        </w:rPr>
        <w:t>Об инвестиционной деятельности в Курской области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и в целях привлечения инвестиций в экономику муниципального образования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>сельсовет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Медвенского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района, расширения налогооблагаемой базы, повышения уровня жизни населения муниципального образования, Собрание депутатов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Гостомлянского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сельсовета РШИЛО:</w:t>
      </w:r>
      <w:proofErr w:type="gramEnd"/>
    </w:p>
    <w:p w:rsidR="00B13E3E" w:rsidRDefault="00B13E3E" w:rsidP="00B13E3E">
      <w:pPr>
        <w:autoSpaceDE w:val="0"/>
        <w:ind w:firstLine="54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Утвердить прилагаемое Положение об инвестиционной деятельности на территории муниципального образования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>сельсовет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Медвенского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района. 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Гостомлянского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сельсовета </w:t>
      </w:r>
      <w:proofErr w:type="gramStart"/>
      <w:r>
        <w:rPr>
          <w:rFonts w:ascii="Times New Roman" w:eastAsia="Times New Roman CYR" w:hAnsi="Times New Roman" w:cs="Times New Roman CYR"/>
          <w:sz w:val="28"/>
          <w:szCs w:val="28"/>
        </w:rPr>
        <w:t>разместить</w:t>
      </w:r>
      <w:proofErr w:type="gram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настоящее решение на официальном сайте муниципального образования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sz w:val="28"/>
          <w:szCs w:val="28"/>
        </w:rPr>
        <w:t>сельсовет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 CYR" w:hAnsi="Times New Roman" w:cs="Times New Roman CYR"/>
          <w:sz w:val="28"/>
          <w:szCs w:val="28"/>
        </w:rPr>
        <w:t>Медвенского</w:t>
      </w:r>
      <w:proofErr w:type="spellEnd"/>
      <w:r>
        <w:rPr>
          <w:rFonts w:ascii="Times New Roman" w:eastAsia="Times New Roman CYR" w:hAnsi="Times New Roman" w:cs="Times New Roman CYR"/>
          <w:sz w:val="28"/>
          <w:szCs w:val="28"/>
        </w:rPr>
        <w:t xml:space="preserve"> района в информационно-телекоммуникационной сети 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 CYR"/>
          <w:sz w:val="28"/>
          <w:szCs w:val="28"/>
        </w:rPr>
        <w:t>Интернет</w:t>
      </w:r>
      <w:r w:rsidRPr="00B13E3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3E3E" w:rsidRDefault="00B13E3E" w:rsidP="00B13E3E">
      <w:pPr>
        <w:autoSpaceDE w:val="0"/>
        <w:ind w:firstLine="54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B13E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 CYR" w:hAnsi="Times New Roman" w:cs="Times New Roman CYR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13E3E" w:rsidRDefault="00B13E3E" w:rsidP="00B13E3E">
      <w:pPr>
        <w:pStyle w:val="a5"/>
        <w:spacing w:after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pStyle w:val="a5"/>
        <w:spacing w:after="0"/>
        <w:ind w:firstLine="737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Е.Е.Ефремова</w:t>
      </w:r>
      <w:proofErr w:type="spellEnd"/>
    </w:p>
    <w:p w:rsidR="00B13E3E" w:rsidRDefault="00B13E3E" w:rsidP="00B13E3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3E3E" w:rsidRDefault="00B13E3E" w:rsidP="00B13E3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B13E3E" w:rsidRDefault="00B13E3E" w:rsidP="00B13E3E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B13E3E" w:rsidRDefault="00B13E3E" w:rsidP="00B13E3E">
      <w:pPr>
        <w:autoSpaceDE w:val="0"/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  <w:t>Гостомлянского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  <w:t xml:space="preserve"> сельсовета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  <w:t>И.А.Тарасова</w:t>
      </w:r>
      <w:proofErr w:type="spellEnd"/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jc w:val="both"/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  <w:lang w:eastAsia="ar-SA" w:bidi="ar-SA"/>
        </w:rPr>
      </w:pPr>
    </w:p>
    <w:p w:rsidR="00B13E3E" w:rsidRDefault="00B13E3E" w:rsidP="00B13E3E">
      <w:pPr>
        <w:sectPr w:rsidR="00B13E3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B13E3E" w:rsidRDefault="00B13E3E" w:rsidP="00B13E3E">
      <w:pPr>
        <w:sectPr w:rsidR="00B13E3E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B13E3E" w:rsidRDefault="00B13E3E" w:rsidP="00B13E3E">
      <w:pPr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 xml:space="preserve">                                                                            Утверждено</w:t>
      </w:r>
    </w:p>
    <w:p w:rsidR="00B13E3E" w:rsidRDefault="00B13E3E" w:rsidP="00B13E3E">
      <w:pPr>
        <w:autoSpaceDE w:val="0"/>
        <w:ind w:left="4678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решением Собрания депутатов </w:t>
      </w:r>
    </w:p>
    <w:p w:rsidR="00B13E3E" w:rsidRDefault="00B13E3E" w:rsidP="00B13E3E">
      <w:pPr>
        <w:autoSpaceDE w:val="0"/>
        <w:ind w:left="4678"/>
        <w:jc w:val="center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</w:t>
      </w:r>
      <w:r>
        <w:rPr>
          <w:rFonts w:ascii="Times New Roman CYR" w:eastAsia="Times New Roman CYR" w:hAnsi="Times New Roman CYR" w:cs="Times New Roman CYR"/>
          <w:sz w:val="24"/>
        </w:rPr>
        <w:br/>
        <w:t>от 26.04.2016 № 11/45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Положение </w:t>
      </w: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об инвестиционной деятельности на территории муниципального образования </w:t>
      </w:r>
      <w:r w:rsidRPr="00B13E3E">
        <w:rPr>
          <w:rFonts w:ascii="Times New Roman" w:eastAsia="Times New Roman" w:hAnsi="Times New Roman" w:cs="Times New Roman"/>
          <w:b/>
          <w:bCs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b/>
          <w:bCs/>
          <w:sz w:val="24"/>
        </w:rPr>
        <w:t xml:space="preserve">»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района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Глава I. Основные положения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1. Основные понятия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>Для целей настоящего Положения используются следующие основные понятия: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начало реализации инвестиционного проекта - календарная дата начала финансирования инвестиционного проекта;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недействующие площади - отдельно стоящие пустующие производственные и непроизводственные сооружения, включая не завершенные строительством, или обособленные пустующие помещения, находящиеся внутри действующих цехов, производственных и непроизводственных помещений;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новое оборудование - не бывшее в эксплуатации производственное оборудование со сроком изготовления не более двух лет к дате начала реализации инвестиционного проекта, предусматривающего установку данного оборудования.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>Понятия и термины нормативных правовых актов о налогах и сборах, о бухгалтерском учете, о таможенном деле, о валютном регулировании и валютном контроле, о рынке ценных бумаг, а также других отраслей законодательства Российской Федерации, используемые в настоящем решении, применяются в том значении, в каком они используются в этих отраслях законодательства.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2. Объекты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Объекты инвестиционной деятельности - это находящиеся на территории города Курчатова в частной, государственной, муниципальной и иных формах собственности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различные виды вновь создаваемого и (или) модернизируемого имущества, за изъятиями, устанавливаемыми федеральными законами.</w:t>
      </w:r>
      <w:proofErr w:type="gramEnd"/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3. Субъекты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>Субъектами инвестиционной деятельности являются инвесторы, заказчики, подрядчики, пользователи объектов капитальных вложений и другие лица, участвующие в реализации инвестиционных проектов.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Инвесторы осуществляют капитальные вложения на территории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района (далее -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сельсовет) с использованием собственных и (или) привлеченных сре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дств в с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лица, объединения юридических лиц.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 качестве инвесторов могут выступать администрация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сельсовета, действующая от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в пределах предоставленных ей полномочий, а также иностранные субъекты предпринимательской деятельности (далее - иностранные инвесторы).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 CYR" w:eastAsia="Times New Roman CYR" w:hAnsi="Times New Roman CYR" w:cs="Times New Roman CYR"/>
          <w:sz w:val="24"/>
        </w:rPr>
        <w:t>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Подрядчики - физические и юридические лица, которые выполняют работы по договору подряда и (или) государственному контракту, заключаемым с заказчиками в соответствии с Гражданским </w:t>
      </w:r>
      <w:hyperlink r:id="rId6" w:history="1">
        <w:r>
          <w:rPr>
            <w:rStyle w:val="a3"/>
            <w:rFonts w:ascii="Times New Roman CYR" w:hAnsi="Times New Roman CYR"/>
          </w:rPr>
          <w:t>кодексом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Федерации.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 CYR" w:eastAsia="Times New Roman CYR" w:hAnsi="Times New Roman CYR" w:cs="Times New Roman CYR"/>
          <w:sz w:val="24"/>
        </w:rPr>
        <w:t>Пользователи объектов капитальных вложений - физические и юридические лица,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 CYR" w:eastAsia="Times New Roman CYR" w:hAnsi="Times New Roman CYR" w:cs="Times New Roman CYR"/>
          <w:sz w:val="24"/>
        </w:rPr>
        <w:t>Субъект инвестиционной деятельности вправе в соответствии с законодательством Российской Федерации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Статья 4. Деятельность иностранных инвесторов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Отношения, связанные с инвестиционной деятельностью, осуществляемой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иностранными инвесторами, регулируются международными договорами Российской Федерации, Гражданским </w:t>
      </w:r>
      <w:hyperlink r:id="rId7" w:history="1">
        <w:r>
          <w:rPr>
            <w:rStyle w:val="a3"/>
            <w:rFonts w:ascii="Times New Roman CYR" w:hAnsi="Times New Roman CYR"/>
          </w:rPr>
          <w:t>кодексом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Федерации, федеральными законами и иными нормативными правовыми актами Российской Федерации, а также настоящим решением.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Создание и функционирование предприятий с участием иностранного капитала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регулируется законодательством Российской Федерации.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 CYR" w:eastAsia="Times New Roman CYR" w:hAnsi="Times New Roman CYR" w:cs="Times New Roman CYR"/>
          <w:sz w:val="24"/>
        </w:rPr>
        <w:t xml:space="preserve">Иностранные инвестиции допускаются во все сферы экономической деятельности,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за исключением отраслей, производств, видов деятельности и территорий, в которых запрещается или ограничивается деятельность иностранных инвесторов в соответствии с законодательством Российской Федерации.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Глава II. Правовые и экономические основы инвестиционной деятельности, осуществляемой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5. Права инвесторов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Инвесторы имеют равные права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на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осуществление инвестиционной деятельности, за изъятиями, устанавливаемыми федеральными законами;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самостоятельное определение объемов и направлений капитальных вложений, а также заключение договоров с другими субъектами капитальных вложений в соответствии с Гражданским </w:t>
      </w:r>
      <w:hyperlink r:id="rId8" w:history="1">
        <w:r>
          <w:rPr>
            <w:rStyle w:val="a3"/>
            <w:rFonts w:ascii="Times New Roman CYR" w:hAnsi="Times New Roman CYR"/>
          </w:rPr>
          <w:t>кодексом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владение, пользование и распоряжение объектами капитальных вложений и результатами осуществленных капитальных вложений;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а также органам местного самоуправления в соответствии с законодательством 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осуществление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контроля за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целевым использованием средств, направляемых на капитальные вложения;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осуществление других прав, предусмотренных договором и (или) государственным контрактом в соответствии с законодательством Российской Федерации.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6. Обязанности субъектов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Субъекты инвестиционной деятельности обязаны: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Курской области, настоящим Положением и иными нормативными правовыми органов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исполнять требования, предъявляемые муниципальными органами и их должностными лицами, не противоречащие нормам законодательства 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использовать средства, направляемые на капитальные вложения, по целевому назначению.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7. Отношения между субъектами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заключаемых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между ними в соответствии с Гражданским </w:t>
      </w:r>
      <w:hyperlink r:id="rId9" w:history="1">
        <w:r>
          <w:rPr>
            <w:rStyle w:val="a3"/>
            <w:rFonts w:ascii="Times New Roman CYR" w:hAnsi="Times New Roman CYR"/>
          </w:rPr>
          <w:t>кодексом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>Условия договоров и (или) муниципальных контрактов, заключенных между субъектами инвестиционной деятельности, сохраняют свою силу на весь срок их действия, за исключением случаев, предусмотренных законодательством Российской Федерации.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8. Источники финансирования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Инвестиционная деятельность может осуществляться за счет: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собственных финансовых ресурсов и внутрихозяйственных резервов инвесторов (прибыль, амортизационные отчисления, денежные накопления и сбережения граждан и юридических лиц, средства, выплачиваемые органами страхования в виде возмещения потерь от аварий, стихийных бедствий, и другие);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заемных финансовых средств инвесторов (банковские кредиты, облигационные займы и другие средства);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привлеченных финансовых средств инвесторов (средства, получаемые от продажи акций, паевые и иные взносы членов трудовых коллективов, граждан, юридических лиц);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денежных средств, централизуемых в установленном порядке объединениями (союзами) предприятий;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средств, выделяемых из федерального бюджета, областного бюджета и бюджета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Медвенского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района, а также соответствующих внебюджетных фондов;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иностранных инвестиций.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Глава III. Муниципальное регулирование инвестиционной деятельности.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Статья 9. Принципы муниципального регулирования инвестиционной деятельности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Муниципальное регулирование инвестиционной деятельности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основывается на принципах: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сбалансированности общественных и частных интересов;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презумпции добросовестности субъектов инвестиционной деятельности;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равноправия субъектов инвестиционной деятельности 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унифицированности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публичных процедур;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открытости и доступности для всех субъектов инвестиционной деятельности необходимой для осуществления инвестиционной деятельности информации, собственником и распорядителем которой является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Гостомлянский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объективности, экономической целесообразности и рациональности в решениях, принимаемых органами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взаимной ответственности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и субъектов инвестиционной деятельности;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долгосрочности приоритетных направлений инвестиционной деятельности 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Гостомлянском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сельсовете в соответствии с </w:t>
      </w:r>
      <w:hyperlink r:id="rId10" w:history="1">
        <w:r>
          <w:rPr>
            <w:rStyle w:val="a3"/>
            <w:rFonts w:ascii="Times New Roman CYR" w:hAnsi="Times New Roman CYR"/>
          </w:rPr>
          <w:t>Комплексной программой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социально-экономического развития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 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10. Формы и методы муниципального регулирования инвестиционной деятельности на территории города Курчатова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Муниципальное регулирование инвестиционной деятельности осуществляется органами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на основе и в пределах полномочий, установленных федеральными законами, законами Курской области и нормативными документами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Органы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для регулирования инвестиционной деятельности, осуществляемой в форме капитальных вложений, используют формы и методы, предусматривающие: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 CYR" w:eastAsia="Times New Roman CYR" w:hAnsi="Times New Roman CYR" w:cs="Times New Roman CYR"/>
          <w:sz w:val="24"/>
        </w:rPr>
        <w:t xml:space="preserve">определение приоритетных направлений инвестиционной деятельности 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lastRenderedPageBreak/>
        <w:t>Гостомлянском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сельсовете;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 CYR" w:eastAsia="Times New Roman CYR" w:hAnsi="Times New Roman CYR" w:cs="Times New Roman CYR"/>
          <w:sz w:val="24"/>
        </w:rPr>
        <w:t xml:space="preserve">создание благоприятного инвестиционного климата на территории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путем: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установления субъектам инвестиционной деятельности льгот по уплате местных налогов;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защиты интересов инвесторов;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3) </w:t>
      </w:r>
      <w:r>
        <w:rPr>
          <w:rFonts w:ascii="Times New Roman CYR" w:eastAsia="Times New Roman CYR" w:hAnsi="Times New Roman CYR" w:cs="Times New Roman CYR"/>
          <w:sz w:val="24"/>
        </w:rPr>
        <w:t>прямое участие органов местного самоуправления в инвестиционной деятельности путем: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разработки, утверждения и финансирования инвестиционных проектов, осуществляемых  муниципальным образованием;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проведения экспертизы инвестиционных проектов в соответствии с законодательством 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выпуска муниципальных займов в соответствии с </w:t>
      </w:r>
      <w:hyperlink r:id="rId11" w:history="1">
        <w:r>
          <w:rPr>
            <w:rStyle w:val="a3"/>
            <w:rFonts w:ascii="Times New Roman CYR" w:hAnsi="Times New Roman CYR"/>
          </w:rPr>
          <w:t>законодательством</w:t>
        </w:r>
      </w:hyperlink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 CYR" w:eastAsia="Times New Roman CYR" w:hAnsi="Times New Roman CYR" w:cs="Times New Roman CYR"/>
          <w:sz w:val="24"/>
        </w:rPr>
        <w:t xml:space="preserve">Муниципальное регулирование инвестиционной деятельности может осуществляться с использованием иных форм и методов в соответствии с нормативно-правовыми актами Собрания депутатов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Статья 11. Порядок предоставления инвесторам муниципальных гарантий за счет средств бюджета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 xml:space="preserve">«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sz w:val="24"/>
        </w:rPr>
        <w:t>»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Общий объем гарантий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сельсовета, предусмотренных для предоставления инвесторам, а также перечень предоставляемых юридическим лицам гарантий устанавливаются решением Собрания депутатов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о бюджете на очередной финансовый год.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Муниципальные гарантии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предоставляются инвесторам, проекты которых были определены победителями конкурсов по отбору наиболее эффективных инвестиционных проектов, при соблюдении следующих условий: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отсутствия у получателя гарантии просроченной задолженности по ранее предоставленным средствам бюджета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Гостомлянский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возвратной основе;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отсутствия у получателя гарантии задолженности по налогам и сборам;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предоставления обеспечения исполнения обязательства по муниципальной гарантии в виде залога ценных бумаг или недвижимого имущества в размере не менее 100 процентов запрашиваемой гарантии для юридических лиц, не являющихся муниципальными унитарными предприятиями.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 CYR" w:eastAsia="Times New Roman CYR" w:hAnsi="Times New Roman CYR" w:cs="Times New Roman CYR"/>
          <w:sz w:val="24"/>
        </w:rPr>
        <w:t xml:space="preserve">Муниципальные гарантии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предоставляются администрацией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 Письменная форма муниципальной гарантии является обязательной.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 CYR" w:eastAsia="Times New Roman CYR" w:hAnsi="Times New Roman CYR" w:cs="Times New Roman CYR"/>
          <w:sz w:val="24"/>
        </w:rPr>
        <w:t xml:space="preserve">Общая сумма предоставленных гарантий включается в состав долга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Гостомлянски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й</w:t>
      </w:r>
      <w:proofErr w:type="spellEnd"/>
      <w:r w:rsidRPr="00B13E3E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B13E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сельсовет</w:t>
      </w:r>
      <w:r w:rsidRPr="00B13E3E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как вид долгового обязательства.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 CYR" w:eastAsia="Times New Roman CYR" w:hAnsi="Times New Roman CYR" w:cs="Times New Roman CYR"/>
          <w:sz w:val="24"/>
        </w:rPr>
        <w:t xml:space="preserve">Срок гарантии определяется сроком исполнения обязательства, по которому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предоставлена гарантия.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 CYR" w:eastAsia="Times New Roman CYR" w:hAnsi="Times New Roman CYR" w:cs="Times New Roman CYR"/>
          <w:sz w:val="24"/>
        </w:rPr>
        <w:t xml:space="preserve">Механизм реализации порядка предоставления муниципальных гарантий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по инвестиционным проектам, определенным победителями конкурсов по отбору наиболее эффективных инвестиционных проектов, определяется администрацией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12. Порядок проведения конкурсов по отбору наиболее эффективных инвестиционных проектов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Решение о проведении конкурса инвестиционных проектов с целью последующего предоставления мер муниципальной поддержки принимает администрация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Конкурсный отбор проектов для предоставления мер муниципальной поддержки инвесторов, предусмотренных настоящим Положением, осуществляется комиссией, созданной постановлением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 CYR" w:eastAsia="Times New Roman CYR" w:hAnsi="Times New Roman CYR" w:cs="Times New Roman CYR"/>
          <w:sz w:val="24"/>
        </w:rPr>
        <w:t>Основными задачами и функциями Комиссии являются: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осуществление в установленном порядке конкурсного отбора наиболее эффективных инвестиционных проектов, формирование перечня проектов - победителей конкурса;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выработка предложения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о целесообразности заключения договора с инвестором о предоставлении ему государственной поддержки в соответствующей форме в порядке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, предусмотренном действующим законодательством.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 CYR" w:eastAsia="Times New Roman CYR" w:hAnsi="Times New Roman CYR" w:cs="Times New Roman CYR"/>
          <w:sz w:val="24"/>
        </w:rPr>
        <w:t xml:space="preserve">Конкурсному отбору подлежат поданные в соответствии с конкурсной документацией конкурсные заявки претендентов. Конкурсная документация разрабатывается организатором конкурса в соответствии с действующим законодательством Российской Федерации, Курской области, нормативно-правовыми актами Собрания депутатов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и утверждается председателем Комиссии.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 CYR" w:eastAsia="Times New Roman CYR" w:hAnsi="Times New Roman CYR" w:cs="Times New Roman CYR"/>
          <w:sz w:val="24"/>
        </w:rPr>
        <w:t>Критериями конкурсного отбора инвестиционных проектов для предоставления мер муниципальной поддержки инвесторов в формах бюджетных кредитов и бюджетных инвестиций, муниципальных гарантий, субсидирования процентной ставки по коммерческим кредитам, полученным для реализации инвестиционного проекта, являются: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максимальная бюджетная эффективность;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максимальная коммерческая эффективность;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минимальное значение срока окупаемости;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экономическая значимость проекта для города;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социальная значимость проекта;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инновационный характер проекта.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 CYR" w:eastAsia="Times New Roman CYR" w:hAnsi="Times New Roman CYR" w:cs="Times New Roman CYR"/>
          <w:sz w:val="24"/>
        </w:rPr>
        <w:t xml:space="preserve">Решение Комиссии о признании инвестиционных проектов победителями конкурса является основанием для издания постановления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сельсовета, в соответствии с которым администрация города заключает с инвесторами, проекты которых были определены победителями, договоры, отражающие объем, условия предоставления мер муниципальной поддержки и ответственность инвесторов за невыполнение условий получения муниципальной поддержки.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 CYR" w:eastAsia="Times New Roman CYR" w:hAnsi="Times New Roman CYR" w:cs="Times New Roman CYR"/>
          <w:sz w:val="24"/>
        </w:rPr>
        <w:t xml:space="preserve">Регламент проведения конкурса по отбору инвестиционных проектов и перечень документов, которые должен представить участник конкурса в соответствии с порядком, предусмотренным настоящей статьей, определяются постановлением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Глава IV. Муниципальные гарантии прав субъектов инвестиционной деятельности и защита инвестиций.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Статья 13. Муниципальные гарантии прав субъектов инвестиционной деятельности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 xml:space="preserve">Органы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в соответствии с законодательством Российской Федерации и настоящим решением гарантируют всем субъектам инвестиционной деятельности независимо от форм собственности: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обеспечение равных прав при осуществлении инвестиционной деятельности;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гласность в обсуждении инвестиционных проектов;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право обжаловать в суд решения и действия (бездействие) органов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защиту капитальных вложений;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равенство на участие в открытых аукционах и конкурсах, проводимых органами местного самоуправления города Курчатова.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 xml:space="preserve">Администрация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сельсовета ежегодно при формировании бюджета муниципального образования </w:t>
      </w:r>
      <w:r w:rsidRPr="00B13E3E"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Гостомлянский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сельсовет</w:t>
      </w:r>
      <w:r w:rsidRPr="00B13E3E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на очередной финансовый год предусматривает средства на оказание мер муниципальной поддержки инвесторов, проекты которых были определены победителями конкурсов по отбору наиболее эффективных инвестиционных проектов, в пределах срока окупаемости проектов, но не более пяти лет.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Глава V. Ответственность субъектов инвестиционной деятельности.</w:t>
      </w:r>
    </w:p>
    <w:p w:rsidR="00B13E3E" w:rsidRPr="00B13E3E" w:rsidRDefault="00B13E3E" w:rsidP="00B13E3E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Статья 14. Ответственность получателя мер муниципальной поддержки</w:t>
      </w:r>
    </w:p>
    <w:p w:rsidR="00B13E3E" w:rsidRPr="00B13E3E" w:rsidRDefault="00B13E3E" w:rsidP="00B13E3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 CYR" w:eastAsia="Times New Roman CYR" w:hAnsi="Times New Roman CYR" w:cs="Times New Roman CYR"/>
          <w:sz w:val="24"/>
        </w:rPr>
        <w:t>Субъекты инвестиционной деятельности обязаны обеспечить учет инвестиционных средств и их использование строго по целевому назначению. В случае использования привлекаемых средств не по целевому назначению предоставление предусмотренных настоящим Положением мер муниципальной поддержки прекращается.</w:t>
      </w:r>
    </w:p>
    <w:p w:rsidR="00B13E3E" w:rsidRDefault="00B13E3E" w:rsidP="00B13E3E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 w:rsidRPr="00B13E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 CYR" w:eastAsia="Times New Roman CYR" w:hAnsi="Times New Roman CYR" w:cs="Times New Roman CYR"/>
          <w:sz w:val="24"/>
        </w:rPr>
        <w:t>В случае невыполнения или неполного выполнения требований, предусмотренных настоящим Положением, и (или) условий реализации инвестиционного проекта (в соответствии с бизнес-планом и другими документами) право на получение мер муниципальной поддержки утрачивается.</w:t>
      </w:r>
    </w:p>
    <w:p w:rsidR="00B13E3E" w:rsidRPr="00B13E3E" w:rsidRDefault="00B13E3E" w:rsidP="00B13E3E">
      <w:pPr>
        <w:autoSpaceDE w:val="0"/>
        <w:rPr>
          <w:rFonts w:ascii="Times New Roman" w:eastAsia="Times New Roman" w:hAnsi="Times New Roman" w:cs="Times New Roman"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B13E3E" w:rsidRDefault="00B13E3E" w:rsidP="00B13E3E">
      <w:pPr>
        <w:jc w:val="center"/>
        <w:rPr>
          <w:rFonts w:ascii="Bookman Old Style" w:hAnsi="Bookman Old Style"/>
          <w:b/>
          <w:sz w:val="24"/>
        </w:rPr>
      </w:pPr>
    </w:p>
    <w:p w:rsidR="003A7F52" w:rsidRDefault="00B13E3E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73"/>
    <w:rsid w:val="0030799A"/>
    <w:rsid w:val="00767873"/>
    <w:rsid w:val="00B13E3E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E3E"/>
    <w:rPr>
      <w:color w:val="000080"/>
      <w:u w:val="single"/>
      <w:lang/>
    </w:rPr>
  </w:style>
  <w:style w:type="character" w:styleId="a4">
    <w:name w:val="Strong"/>
    <w:qFormat/>
    <w:rsid w:val="00B13E3E"/>
    <w:rPr>
      <w:b/>
      <w:bCs/>
    </w:rPr>
  </w:style>
  <w:style w:type="paragraph" w:styleId="a5">
    <w:name w:val="Body Text"/>
    <w:basedOn w:val="a"/>
    <w:link w:val="a6"/>
    <w:rsid w:val="00B13E3E"/>
    <w:pPr>
      <w:spacing w:after="120"/>
    </w:pPr>
  </w:style>
  <w:style w:type="character" w:customStyle="1" w:styleId="a6">
    <w:name w:val="Основной текст Знак"/>
    <w:basedOn w:val="a0"/>
    <w:link w:val="a5"/>
    <w:rsid w:val="00B13E3E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E3E"/>
    <w:rPr>
      <w:color w:val="000080"/>
      <w:u w:val="single"/>
      <w:lang/>
    </w:rPr>
  </w:style>
  <w:style w:type="character" w:styleId="a4">
    <w:name w:val="Strong"/>
    <w:qFormat/>
    <w:rsid w:val="00B13E3E"/>
    <w:rPr>
      <w:b/>
      <w:bCs/>
    </w:rPr>
  </w:style>
  <w:style w:type="paragraph" w:styleId="a5">
    <w:name w:val="Body Text"/>
    <w:basedOn w:val="a"/>
    <w:link w:val="a6"/>
    <w:rsid w:val="00B13E3E"/>
    <w:pPr>
      <w:spacing w:after="120"/>
    </w:pPr>
  </w:style>
  <w:style w:type="character" w:customStyle="1" w:styleId="a6">
    <w:name w:val="Основной текст Знак"/>
    <w:basedOn w:val="a0"/>
    <w:link w:val="a5"/>
    <w:rsid w:val="00B13E3E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8FF428A172958C893198AB6B6DB5D6D233E984CAF1B4EB3778E011B5Dt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8FF428A172958C893198AB6B6DB5D6D233E984CAF1B4EB3778E011B5Dt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8FF428A172958C893198AB6B6DB5D6D233E984CAF1B4EB3778E011B5DtDI" TargetMode="External"/><Relationship Id="rId11" Type="http://schemas.openxmlformats.org/officeDocument/2006/relationships/hyperlink" Target="consultantplus://offline/ref=2FFC10AAC440F2C4C02E3D84CD96A2EB2A3DAFDBD31FEB950B4C4E014BC0461602BE47ED76C6966CV2qFJ" TargetMode="External"/><Relationship Id="rId5" Type="http://schemas.openxmlformats.org/officeDocument/2006/relationships/hyperlink" Target="consultantplus://offline/ref=4ED8FF428A172958C893198AB6B6DB5D6D2F3B9141AA1B4EB3778E011BDD7ED7D00C10B5E1DD28E55DtCI" TargetMode="External"/><Relationship Id="rId10" Type="http://schemas.openxmlformats.org/officeDocument/2006/relationships/hyperlink" Target="consultantplus://offline/ref=4ED8FF428A172958C8930787A0DA81516B2163944AA81810EA28D55C4CD47480974349F7A5D028E6D8D47E58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8FF428A172958C893198AB6B6DB5D6D233E984CAF1B4EB3778E011B5D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3248</Words>
  <Characters>18516</Characters>
  <Application>Microsoft Office Word</Application>
  <DocSecurity>0</DocSecurity>
  <Lines>154</Lines>
  <Paragraphs>43</Paragraphs>
  <ScaleCrop>false</ScaleCrop>
  <Company>HP</Company>
  <LinksUpToDate>false</LinksUpToDate>
  <CharactersWithSpaces>21721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2022-03-28T09:38:00Z</dcterms:created>
  <dcterms:modified xsi:type="dcterms:W3CDTF">2022-03-28T09:39:00Z</dcterms:modified>
</cp:coreProperties>
</file>