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507EB" w:rsidRDefault="006507EB" w:rsidP="006507EB">
      <w:pPr>
        <w:jc w:val="center"/>
        <w:rPr>
          <w:rFonts w:ascii="Arial" w:hAnsi="Arial" w:cs="Arial"/>
          <w:b/>
          <w:sz w:val="32"/>
          <w:szCs w:val="32"/>
        </w:rPr>
      </w:pPr>
    </w:p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507EB" w:rsidRDefault="006507EB" w:rsidP="006507EB">
      <w:pPr>
        <w:jc w:val="center"/>
      </w:pPr>
      <w:r>
        <w:rPr>
          <w:rFonts w:ascii="Arial" w:hAnsi="Arial" w:cs="Arial"/>
          <w:b/>
          <w:sz w:val="32"/>
          <w:szCs w:val="32"/>
        </w:rPr>
        <w:t>от 30 апреля 2021 года № 97/330</w:t>
      </w:r>
    </w:p>
    <w:p w:rsidR="006507EB" w:rsidRDefault="006507EB" w:rsidP="006507EB">
      <w:pPr>
        <w:jc w:val="center"/>
        <w:rPr>
          <w:rFonts w:ascii="Arial" w:hAnsi="Arial" w:cs="Arial"/>
          <w:b/>
          <w:sz w:val="32"/>
          <w:szCs w:val="32"/>
        </w:rPr>
      </w:pPr>
    </w:p>
    <w:p w:rsidR="006507EB" w:rsidRDefault="006507EB" w:rsidP="006507EB">
      <w:pPr>
        <w:pStyle w:val="a3"/>
        <w:jc w:val="center"/>
        <w:rPr>
          <w:lang w:eastAsia="ar-SA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от 30.05.2016 года № 12/49 «Об упорядочении работ по сносу и восстановлению зеленых насаждений на территории 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сельсовета»</w:t>
      </w:r>
    </w:p>
    <w:p w:rsidR="006507EB" w:rsidRPr="001C7D3F" w:rsidRDefault="006507EB" w:rsidP="006507EB">
      <w:pPr>
        <w:spacing w:line="100" w:lineRule="atLeast"/>
        <w:ind w:firstLine="675"/>
        <w:jc w:val="both"/>
        <w:rPr>
          <w:rFonts w:ascii="Arial" w:hAnsi="Arial" w:cs="Arial"/>
        </w:rPr>
      </w:pPr>
      <w:r w:rsidRPr="001C7D3F">
        <w:rPr>
          <w:rFonts w:ascii="Arial" w:hAnsi="Arial" w:cs="Arial"/>
          <w:color w:val="000000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«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Гост</w:t>
      </w:r>
      <w:r>
        <w:rPr>
          <w:rFonts w:ascii="Arial" w:hAnsi="Arial" w:cs="Arial"/>
          <w:color w:val="000000"/>
          <w:lang w:eastAsia="ru-RU"/>
        </w:rPr>
        <w:t>ом</w:t>
      </w:r>
      <w:r w:rsidRPr="001C7D3F">
        <w:rPr>
          <w:rFonts w:ascii="Arial" w:hAnsi="Arial" w:cs="Arial"/>
          <w:color w:val="000000"/>
          <w:lang w:eastAsia="ru-RU"/>
        </w:rPr>
        <w:t>лянский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сельсовет»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района Курской области, в целях рационального использования, охраны и воспроизводства зеленых насаждений на территории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района, </w:t>
      </w:r>
      <w:r w:rsidRPr="001C7D3F">
        <w:rPr>
          <w:rFonts w:ascii="Arial" w:hAnsi="Arial" w:cs="Arial"/>
        </w:rPr>
        <w:t xml:space="preserve">Собрание депутатов </w:t>
      </w:r>
      <w:proofErr w:type="spellStart"/>
      <w:r w:rsidRPr="001C7D3F">
        <w:rPr>
          <w:rFonts w:ascii="Arial" w:hAnsi="Arial" w:cs="Arial"/>
        </w:rPr>
        <w:t>Гостомлянского</w:t>
      </w:r>
      <w:proofErr w:type="spellEnd"/>
      <w:r w:rsidRPr="001C7D3F">
        <w:rPr>
          <w:rFonts w:ascii="Arial" w:hAnsi="Arial" w:cs="Arial"/>
        </w:rPr>
        <w:t xml:space="preserve"> сельсовета </w:t>
      </w:r>
      <w:proofErr w:type="spellStart"/>
      <w:r w:rsidRPr="001C7D3F">
        <w:rPr>
          <w:rFonts w:ascii="Arial" w:hAnsi="Arial" w:cs="Arial"/>
        </w:rPr>
        <w:t>Медвенского</w:t>
      </w:r>
      <w:proofErr w:type="spellEnd"/>
      <w:r w:rsidRPr="001C7D3F">
        <w:rPr>
          <w:rFonts w:ascii="Arial" w:hAnsi="Arial" w:cs="Arial"/>
        </w:rPr>
        <w:t xml:space="preserve"> района решило:</w:t>
      </w:r>
    </w:p>
    <w:p w:rsidR="006507EB" w:rsidRPr="001C7D3F" w:rsidRDefault="006507EB" w:rsidP="006507EB">
      <w:pPr>
        <w:pStyle w:val="a3"/>
        <w:numPr>
          <w:ilvl w:val="0"/>
          <w:numId w:val="1"/>
        </w:numPr>
        <w:ind w:left="142" w:hanging="142"/>
        <w:jc w:val="both"/>
        <w:rPr>
          <w:lang w:eastAsia="ar-SA"/>
        </w:rPr>
      </w:pPr>
      <w:r w:rsidRPr="001C7D3F">
        <w:rPr>
          <w:rFonts w:ascii="Arial" w:hAnsi="Arial" w:cs="Arial"/>
        </w:rPr>
        <w:t>Внести в</w:t>
      </w:r>
      <w:r>
        <w:t xml:space="preserve"> </w:t>
      </w:r>
      <w:r w:rsidRPr="001C7D3F">
        <w:rPr>
          <w:rFonts w:ascii="Arial" w:hAnsi="Arial" w:cs="Arial"/>
        </w:rPr>
        <w:t xml:space="preserve">решение Собрания депутатов </w:t>
      </w:r>
      <w:proofErr w:type="spellStart"/>
      <w:r w:rsidRPr="001C7D3F">
        <w:rPr>
          <w:rFonts w:ascii="Arial" w:hAnsi="Arial" w:cs="Arial"/>
        </w:rPr>
        <w:t>Гостомлянского</w:t>
      </w:r>
      <w:proofErr w:type="spellEnd"/>
      <w:r w:rsidRPr="001C7D3F">
        <w:rPr>
          <w:rFonts w:ascii="Arial" w:hAnsi="Arial" w:cs="Arial"/>
        </w:rPr>
        <w:t xml:space="preserve"> сельсовета </w:t>
      </w:r>
      <w:proofErr w:type="spellStart"/>
      <w:r w:rsidRPr="001C7D3F">
        <w:rPr>
          <w:rFonts w:ascii="Arial" w:hAnsi="Arial" w:cs="Arial"/>
        </w:rPr>
        <w:t>Медвенского</w:t>
      </w:r>
      <w:proofErr w:type="spellEnd"/>
      <w:r w:rsidRPr="001C7D3F">
        <w:rPr>
          <w:rFonts w:ascii="Arial" w:hAnsi="Arial" w:cs="Arial"/>
        </w:rPr>
        <w:t xml:space="preserve"> района Курской области от 30.05.2016 года № 12/49 «Об упорядочении работ по сносу и восстановлению зеленых насаждений на территории </w:t>
      </w:r>
      <w:proofErr w:type="spellStart"/>
      <w:r w:rsidRPr="001C7D3F">
        <w:rPr>
          <w:rFonts w:ascii="Arial" w:hAnsi="Arial" w:cs="Arial"/>
        </w:rPr>
        <w:t>Гостомлянского</w:t>
      </w:r>
      <w:proofErr w:type="spellEnd"/>
      <w:r w:rsidRPr="001C7D3F">
        <w:rPr>
          <w:rFonts w:ascii="Arial" w:hAnsi="Arial" w:cs="Arial"/>
        </w:rPr>
        <w:t xml:space="preserve"> сельсовета»</w:t>
      </w:r>
      <w:r>
        <w:rPr>
          <w:rFonts w:ascii="Arial" w:hAnsi="Arial" w:cs="Arial"/>
        </w:rPr>
        <w:t xml:space="preserve"> следующие изменения:</w:t>
      </w:r>
    </w:p>
    <w:p w:rsidR="006507EB" w:rsidRDefault="006507EB" w:rsidP="006507EB">
      <w:pPr>
        <w:pStyle w:val="a5"/>
        <w:numPr>
          <w:ilvl w:val="1"/>
          <w:numId w:val="1"/>
        </w:numPr>
        <w:autoSpaceDE w:val="0"/>
        <w:jc w:val="both"/>
        <w:rPr>
          <w:rFonts w:cs="Arial"/>
          <w:sz w:val="24"/>
        </w:rPr>
      </w:pPr>
      <w:r w:rsidRPr="001C7D3F">
        <w:rPr>
          <w:rFonts w:cs="Arial"/>
          <w:sz w:val="24"/>
        </w:rPr>
        <w:t xml:space="preserve">Приложение № 1 к решению Собрания депутатов </w:t>
      </w:r>
      <w:proofErr w:type="spellStart"/>
      <w:r w:rsidRPr="001C7D3F">
        <w:rPr>
          <w:rFonts w:cs="Arial"/>
          <w:sz w:val="24"/>
        </w:rPr>
        <w:t>Гостомлянского</w:t>
      </w:r>
      <w:proofErr w:type="spellEnd"/>
      <w:r w:rsidRPr="001C7D3F">
        <w:rPr>
          <w:rFonts w:cs="Arial"/>
          <w:sz w:val="24"/>
        </w:rPr>
        <w:t xml:space="preserve"> сельсовета от 30.05.2016 г. № 12/49</w:t>
      </w:r>
      <w:r>
        <w:rPr>
          <w:rFonts w:cs="Arial"/>
          <w:sz w:val="24"/>
        </w:rPr>
        <w:t xml:space="preserve"> изложить в новой редакции; </w:t>
      </w:r>
    </w:p>
    <w:p w:rsidR="006507EB" w:rsidRDefault="006507EB" w:rsidP="006507EB">
      <w:pPr>
        <w:pStyle w:val="a5"/>
        <w:numPr>
          <w:ilvl w:val="1"/>
          <w:numId w:val="1"/>
        </w:numPr>
        <w:autoSpaceDE w:val="0"/>
        <w:jc w:val="both"/>
        <w:rPr>
          <w:rFonts w:cs="Arial"/>
          <w:sz w:val="24"/>
        </w:rPr>
      </w:pPr>
      <w:r w:rsidRPr="001C7D3F">
        <w:rPr>
          <w:rFonts w:cs="Arial"/>
          <w:sz w:val="24"/>
        </w:rPr>
        <w:t xml:space="preserve">Приложение № </w:t>
      </w:r>
      <w:r>
        <w:rPr>
          <w:rFonts w:cs="Arial"/>
          <w:sz w:val="24"/>
        </w:rPr>
        <w:t>2</w:t>
      </w:r>
      <w:r w:rsidRPr="001C7D3F">
        <w:rPr>
          <w:rFonts w:cs="Arial"/>
          <w:sz w:val="24"/>
        </w:rPr>
        <w:t xml:space="preserve"> к решению Собрания депутатов </w:t>
      </w:r>
      <w:proofErr w:type="spellStart"/>
      <w:r w:rsidRPr="001C7D3F">
        <w:rPr>
          <w:rFonts w:cs="Arial"/>
          <w:sz w:val="24"/>
        </w:rPr>
        <w:t>Гостомлянского</w:t>
      </w:r>
      <w:proofErr w:type="spellEnd"/>
      <w:r w:rsidRPr="001C7D3F">
        <w:rPr>
          <w:rFonts w:cs="Arial"/>
          <w:sz w:val="24"/>
        </w:rPr>
        <w:t xml:space="preserve"> сельсовета от 30.05.2016 г. № 12/49</w:t>
      </w:r>
      <w:r>
        <w:rPr>
          <w:rFonts w:cs="Arial"/>
          <w:sz w:val="24"/>
        </w:rPr>
        <w:t xml:space="preserve"> изложить в новой редакции.</w:t>
      </w:r>
    </w:p>
    <w:p w:rsidR="006507EB" w:rsidRDefault="006507EB" w:rsidP="006507EB">
      <w:pPr>
        <w:pStyle w:val="a5"/>
        <w:jc w:val="both"/>
        <w:rPr>
          <w:rFonts w:cs="Arial"/>
        </w:rPr>
      </w:pPr>
    </w:p>
    <w:p w:rsidR="006507EB" w:rsidRDefault="006507EB" w:rsidP="006507EB">
      <w:pPr>
        <w:pStyle w:val="a5"/>
        <w:jc w:val="both"/>
        <w:rPr>
          <w:rFonts w:cs="Arial"/>
        </w:rPr>
      </w:pPr>
    </w:p>
    <w:p w:rsidR="006507EB" w:rsidRDefault="006507EB" w:rsidP="006507EB">
      <w:pPr>
        <w:pStyle w:val="a5"/>
        <w:jc w:val="both"/>
        <w:rPr>
          <w:rFonts w:cs="Arial"/>
        </w:rPr>
      </w:pPr>
    </w:p>
    <w:p w:rsidR="006507EB" w:rsidRDefault="006507EB" w:rsidP="006507EB">
      <w:pPr>
        <w:pStyle w:val="a5"/>
        <w:jc w:val="both"/>
        <w:rPr>
          <w:rFonts w:cs="Arial"/>
        </w:rPr>
      </w:pPr>
    </w:p>
    <w:p w:rsidR="006507EB" w:rsidRDefault="006507EB" w:rsidP="006507EB">
      <w:pPr>
        <w:pStyle w:val="a5"/>
        <w:jc w:val="both"/>
        <w:rPr>
          <w:rFonts w:cs="Arial"/>
        </w:rPr>
      </w:pPr>
    </w:p>
    <w:p w:rsidR="006507EB" w:rsidRPr="0025485E" w:rsidRDefault="006507EB" w:rsidP="006507EB">
      <w:pPr>
        <w:pStyle w:val="a5"/>
        <w:ind w:left="0"/>
        <w:jc w:val="both"/>
        <w:rPr>
          <w:rFonts w:cs="Arial"/>
          <w:sz w:val="24"/>
        </w:rPr>
      </w:pPr>
      <w:r w:rsidRPr="0025485E">
        <w:rPr>
          <w:rFonts w:cs="Arial"/>
          <w:sz w:val="24"/>
        </w:rPr>
        <w:t>Председатель Собрания депутатов</w:t>
      </w:r>
    </w:p>
    <w:p w:rsidR="006507EB" w:rsidRPr="0025485E" w:rsidRDefault="006507EB" w:rsidP="006507EB">
      <w:pPr>
        <w:pStyle w:val="a5"/>
        <w:ind w:left="0"/>
        <w:jc w:val="both"/>
        <w:rPr>
          <w:rFonts w:cs="Arial"/>
          <w:sz w:val="24"/>
        </w:rPr>
      </w:pPr>
      <w:proofErr w:type="spellStart"/>
      <w:r w:rsidRPr="0025485E">
        <w:rPr>
          <w:rFonts w:cs="Arial"/>
          <w:sz w:val="24"/>
        </w:rPr>
        <w:t>Гостомлянского</w:t>
      </w:r>
      <w:proofErr w:type="spellEnd"/>
      <w:r w:rsidRPr="0025485E">
        <w:rPr>
          <w:rFonts w:cs="Arial"/>
          <w:sz w:val="24"/>
        </w:rPr>
        <w:t xml:space="preserve"> сельсовета                                                                Е.Н. Мельникова</w:t>
      </w:r>
    </w:p>
    <w:p w:rsidR="006507EB" w:rsidRPr="0025485E" w:rsidRDefault="006507EB" w:rsidP="006507EB">
      <w:pPr>
        <w:pStyle w:val="a5"/>
        <w:ind w:left="0"/>
        <w:jc w:val="both"/>
        <w:rPr>
          <w:rFonts w:cs="Arial"/>
          <w:sz w:val="24"/>
        </w:rPr>
      </w:pPr>
    </w:p>
    <w:p w:rsidR="006507EB" w:rsidRPr="0025485E" w:rsidRDefault="006507EB" w:rsidP="006507EB">
      <w:pPr>
        <w:pStyle w:val="a5"/>
        <w:ind w:left="0"/>
        <w:jc w:val="both"/>
        <w:rPr>
          <w:rFonts w:cs="Arial"/>
          <w:sz w:val="24"/>
        </w:rPr>
      </w:pPr>
      <w:r w:rsidRPr="0025485E">
        <w:rPr>
          <w:rFonts w:cs="Arial"/>
          <w:sz w:val="24"/>
        </w:rPr>
        <w:t xml:space="preserve">Глава </w:t>
      </w:r>
      <w:proofErr w:type="spellStart"/>
      <w:r w:rsidRPr="0025485E">
        <w:rPr>
          <w:rFonts w:cs="Arial"/>
          <w:sz w:val="24"/>
        </w:rPr>
        <w:t>Гостомлянского</w:t>
      </w:r>
      <w:proofErr w:type="spellEnd"/>
      <w:r w:rsidRPr="0025485E">
        <w:rPr>
          <w:rFonts w:cs="Arial"/>
          <w:sz w:val="24"/>
        </w:rPr>
        <w:t xml:space="preserve"> сельсовета:                                                     А.Н </w:t>
      </w:r>
      <w:proofErr w:type="spellStart"/>
      <w:r w:rsidRPr="0025485E">
        <w:rPr>
          <w:rFonts w:cs="Arial"/>
          <w:sz w:val="24"/>
        </w:rPr>
        <w:t>Харланов</w:t>
      </w:r>
      <w:proofErr w:type="spellEnd"/>
    </w:p>
    <w:p w:rsidR="006507EB" w:rsidRPr="00C70DE2" w:rsidRDefault="006507EB" w:rsidP="006507EB">
      <w:pPr>
        <w:autoSpaceDE w:val="0"/>
        <w:jc w:val="both"/>
        <w:rPr>
          <w:rFonts w:ascii="Arial" w:hAnsi="Arial" w:cs="Arial"/>
        </w:rPr>
      </w:pPr>
      <w:proofErr w:type="spellStart"/>
      <w:r w:rsidRPr="00C70DE2">
        <w:rPr>
          <w:rFonts w:ascii="Arial" w:hAnsi="Arial" w:cs="Arial"/>
        </w:rPr>
        <w:t>Медвенского</w:t>
      </w:r>
      <w:proofErr w:type="spellEnd"/>
      <w:r w:rsidRPr="00C70DE2">
        <w:rPr>
          <w:rFonts w:ascii="Arial" w:hAnsi="Arial" w:cs="Arial"/>
        </w:rPr>
        <w:t xml:space="preserve"> района</w:t>
      </w: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  <w:bookmarkStart w:id="0" w:name="_GoBack"/>
      <w:bookmarkEnd w:id="0"/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 w:rsidRPr="0025485E">
        <w:rPr>
          <w:rFonts w:cs="Arial"/>
          <w:sz w:val="24"/>
        </w:rPr>
        <w:lastRenderedPageBreak/>
        <w:t xml:space="preserve">Приложение № 1 </w:t>
      </w: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>
        <w:rPr>
          <w:rFonts w:cs="Arial"/>
          <w:sz w:val="24"/>
        </w:rPr>
        <w:t>к</w:t>
      </w:r>
      <w:r w:rsidRPr="0025485E">
        <w:rPr>
          <w:rFonts w:cs="Arial"/>
          <w:sz w:val="24"/>
        </w:rPr>
        <w:t xml:space="preserve"> Решению Собрания депутатов </w:t>
      </w: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proofErr w:type="spellStart"/>
      <w:r w:rsidRPr="0025485E">
        <w:rPr>
          <w:rFonts w:cs="Arial"/>
          <w:sz w:val="24"/>
        </w:rPr>
        <w:t>Гостомлянского</w:t>
      </w:r>
      <w:proofErr w:type="spellEnd"/>
      <w:r w:rsidRPr="0025485E">
        <w:rPr>
          <w:rFonts w:cs="Arial"/>
          <w:sz w:val="24"/>
        </w:rPr>
        <w:t xml:space="preserve"> сельсовета </w:t>
      </w:r>
      <w:proofErr w:type="gramStart"/>
      <w:r w:rsidRPr="0025485E">
        <w:rPr>
          <w:rFonts w:cs="Arial"/>
          <w:sz w:val="24"/>
        </w:rPr>
        <w:t>от</w:t>
      </w:r>
      <w:proofErr w:type="gramEnd"/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 w:rsidRPr="0025485E">
        <w:rPr>
          <w:rFonts w:cs="Arial"/>
          <w:sz w:val="24"/>
        </w:rPr>
        <w:t>30.05.2016 года № 12/49</w:t>
      </w: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</w:p>
    <w:p w:rsidR="006507EB" w:rsidRPr="001C7D3F" w:rsidRDefault="006507EB" w:rsidP="006507EB">
      <w:pPr>
        <w:pStyle w:val="a5"/>
        <w:autoSpaceDE w:val="0"/>
        <w:ind w:left="75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«</w:t>
      </w:r>
      <w:r w:rsidRPr="001C7D3F">
        <w:rPr>
          <w:rFonts w:cs="Arial"/>
          <w:b/>
          <w:sz w:val="24"/>
        </w:rPr>
        <w:t>Положение</w:t>
      </w:r>
    </w:p>
    <w:p w:rsidR="006507EB" w:rsidRPr="001C7D3F" w:rsidRDefault="006507EB" w:rsidP="006507EB">
      <w:pPr>
        <w:pStyle w:val="a5"/>
        <w:autoSpaceDE w:val="0"/>
        <w:jc w:val="center"/>
        <w:rPr>
          <w:rFonts w:cs="Arial"/>
          <w:b/>
          <w:sz w:val="24"/>
        </w:rPr>
      </w:pPr>
      <w:r w:rsidRPr="001C7D3F">
        <w:rPr>
          <w:rFonts w:cs="Arial"/>
          <w:b/>
          <w:sz w:val="24"/>
        </w:rPr>
        <w:t xml:space="preserve">о порядке сноса зеленых насаждений, возмещения ущерба, нанесенного сносом, и восстановления зеленых насаждений на территории </w:t>
      </w:r>
      <w:proofErr w:type="spellStart"/>
      <w:r w:rsidRPr="001C7D3F">
        <w:rPr>
          <w:rFonts w:cs="Arial"/>
          <w:b/>
          <w:sz w:val="24"/>
        </w:rPr>
        <w:t>Гостомлянского</w:t>
      </w:r>
      <w:proofErr w:type="spellEnd"/>
      <w:r w:rsidRPr="001C7D3F">
        <w:rPr>
          <w:rFonts w:cs="Arial"/>
          <w:b/>
          <w:sz w:val="24"/>
        </w:rPr>
        <w:t xml:space="preserve"> сельсовета</w:t>
      </w:r>
    </w:p>
    <w:p w:rsidR="006507EB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1C7D3F">
        <w:rPr>
          <w:rFonts w:ascii="Arial" w:hAnsi="Arial" w:cs="Arial"/>
          <w:color w:val="000000"/>
          <w:lang w:eastAsia="ru-RU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№ 7-ФЗ «Об охране окружающей среды», Уставом муниципального образования «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Гостомлянский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сельсовет»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района Курской области, в целях обеспечения экологического благополучия населения и определяет порядок вырубки зеленых насаждений на территории 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района (далее</w:t>
      </w:r>
      <w:proofErr w:type="gramEnd"/>
      <w:r w:rsidRPr="001C7D3F">
        <w:rPr>
          <w:rFonts w:ascii="Arial" w:hAnsi="Arial" w:cs="Arial"/>
          <w:color w:val="000000"/>
          <w:lang w:eastAsia="ru-RU"/>
        </w:rPr>
        <w:t xml:space="preserve"> по тексту – сельское поселение).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1. Основные понятия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В настоящем Положении используются следующие основные понятия: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зеленые насаждения – это совокупность естественной и (или) искусственной древесной, кустарниковой, травянистой растительности;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1C7D3F">
        <w:rPr>
          <w:rFonts w:ascii="Arial" w:hAnsi="Arial" w:cs="Arial"/>
          <w:color w:val="000000"/>
          <w:lang w:eastAsia="ru-RU"/>
        </w:rPr>
        <w:t>Залесенные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Кустарник - многолетнее многоствольное (в отличие от дерева) растение, ветвящееся у самой поверхности почвы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Травяной покров - газон, естественная травяная растительность.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Заросли – растения, кустарники густорастущие на каком-либо месте.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lastRenderedPageBreak/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2. Основные принципы охраны зеленых насаждений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 xml:space="preserve">2.6. Акт выбора земельного участка,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предпроектная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3. Порядок вырубки зеленых насаждений (деревьев, кустарников)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1C7D3F">
        <w:rPr>
          <w:rFonts w:ascii="Arial" w:hAnsi="Arial" w:cs="Arial"/>
          <w:color w:val="000000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  <w:proofErr w:type="gramEnd"/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lastRenderedPageBreak/>
        <w:t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Если деревья и кустарники, подлежащие вырубке, находятся в аварийном состоянии, указанный документ не требуется.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3.5.1. пересчетной ведомости зеленых насаждений;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 xml:space="preserve">3.5.2. акта технического обследования зеленых насаждений, </w:t>
      </w:r>
      <w:proofErr w:type="gramStart"/>
      <w:r w:rsidRPr="001C7D3F">
        <w:rPr>
          <w:rFonts w:ascii="Arial" w:hAnsi="Arial" w:cs="Arial"/>
          <w:color w:val="000000"/>
          <w:lang w:eastAsia="ru-RU"/>
        </w:rPr>
        <w:t>который</w:t>
      </w:r>
      <w:proofErr w:type="gramEnd"/>
      <w:r w:rsidRPr="001C7D3F">
        <w:rPr>
          <w:rFonts w:ascii="Arial" w:hAnsi="Arial" w:cs="Arial"/>
          <w:color w:val="000000"/>
          <w:lang w:eastAsia="ru-RU"/>
        </w:rPr>
        <w:t xml:space="preserve"> составляется с целью определения количества, вида, категории подлежащей вырубке древесно-кустарниковой растительности;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Проведение вышеуказанных работ осуществляется за счет Заявителя.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Срок действия разрешения – 90 дней.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3.6. Администрация сельского поселения на основании заявления Заявителя, акта 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 случаях: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lastRenderedPageBreak/>
        <w:t>3.13.1- при проведении рубок ухода, санитарных рубок и реконструкции зелёных насаждений;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3.13.2 при вырубке деревьев и кустарников в случае ликвидации аварийных и чрезвычайных ситуаций;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Роспотребнадзора</w:t>
      </w:r>
      <w:proofErr w:type="spellEnd"/>
      <w:r w:rsidRPr="001C7D3F">
        <w:rPr>
          <w:rFonts w:ascii="Arial" w:hAnsi="Arial" w:cs="Arial"/>
          <w:color w:val="000000"/>
          <w:lang w:eastAsia="ru-RU"/>
        </w:rPr>
        <w:t>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3.13.4 при вырубке сухостойных деревьев и кустарников;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 Несанкционированной вырубкой или уничтожением зеленых насаждений признается: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 xml:space="preserve">3.16.3.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Окольцовка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ствола или подсечка;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3.16.4. Повреждение растущих деревьев и кустарников до степени прекращения роста;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3.16.6. Самовольная вырубка сухостойных деревьев;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3.16.7. Прочие повреждения растущих деревьев и кустарников.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4. Компенсационное озеленение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lastRenderedPageBreak/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4.2. Компенсационное озеленение производится за счет сре</w:t>
      </w:r>
      <w:proofErr w:type="gramStart"/>
      <w:r w:rsidRPr="001C7D3F">
        <w:rPr>
          <w:rFonts w:ascii="Arial" w:hAnsi="Arial" w:cs="Arial"/>
          <w:color w:val="000000"/>
          <w:lang w:eastAsia="ru-RU"/>
        </w:rPr>
        <w:t>дств гр</w:t>
      </w:r>
      <w:proofErr w:type="gramEnd"/>
      <w:r w:rsidRPr="001C7D3F">
        <w:rPr>
          <w:rFonts w:ascii="Arial" w:hAnsi="Arial" w:cs="Arial"/>
          <w:color w:val="000000"/>
          <w:lang w:eastAsia="ru-RU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1C7D3F">
        <w:rPr>
          <w:rFonts w:ascii="Arial" w:hAnsi="Arial" w:cs="Arial"/>
          <w:color w:val="000000"/>
          <w:lang w:eastAsia="ru-RU"/>
        </w:rPr>
        <w:t>натуральная</w:t>
      </w:r>
      <w:proofErr w:type="gramEnd"/>
      <w:r w:rsidRPr="001C7D3F">
        <w:rPr>
          <w:rFonts w:ascii="Arial" w:hAnsi="Arial" w:cs="Arial"/>
          <w:color w:val="000000"/>
          <w:lang w:eastAsia="ru-RU"/>
        </w:rPr>
        <w:t xml:space="preserve"> - восстановление зеленых насаждений взамен уничтоженных;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1C7D3F">
        <w:rPr>
          <w:rFonts w:ascii="Arial" w:hAnsi="Arial" w:cs="Arial"/>
          <w:color w:val="000000"/>
          <w:lang w:eastAsia="ru-RU"/>
        </w:rPr>
        <w:t>денежная</w:t>
      </w:r>
      <w:proofErr w:type="gramEnd"/>
      <w:r w:rsidRPr="001C7D3F">
        <w:rPr>
          <w:rFonts w:ascii="Arial" w:hAnsi="Arial" w:cs="Arial"/>
          <w:color w:val="000000"/>
          <w:lang w:eastAsia="ru-RU"/>
        </w:rPr>
        <w:t xml:space="preserve">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5.Охрана зеленых насаждений при осуществлении градостроительной деятельности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1C7D3F">
        <w:rPr>
          <w:rFonts w:ascii="Arial" w:hAnsi="Arial" w:cs="Arial"/>
          <w:color w:val="000000"/>
          <w:lang w:eastAsia="ru-RU"/>
        </w:rPr>
        <w:t>предпроектная</w:t>
      </w:r>
      <w:proofErr w:type="spellEnd"/>
      <w:r w:rsidRPr="001C7D3F">
        <w:rPr>
          <w:rFonts w:ascii="Arial" w:hAnsi="Arial" w:cs="Arial"/>
          <w:color w:val="000000"/>
          <w:lang w:eastAsia="ru-RU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6. Охрана зеленых насаждений при осуществлении предпринимательской деятельности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b/>
          <w:bCs/>
          <w:color w:val="000000"/>
          <w:lang w:eastAsia="ru-RU"/>
        </w:rPr>
        <w:t>7. Административная ответственность</w:t>
      </w:r>
    </w:p>
    <w:p w:rsidR="006507EB" w:rsidRPr="001C7D3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C7D3F">
        <w:rPr>
          <w:rFonts w:ascii="Arial" w:hAnsi="Arial" w:cs="Arial"/>
          <w:color w:val="000000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</w:t>
      </w:r>
      <w:proofErr w:type="gramStart"/>
      <w:r w:rsidRPr="001C7D3F">
        <w:rPr>
          <w:rFonts w:ascii="Arial" w:hAnsi="Arial" w:cs="Arial"/>
          <w:color w:val="000000"/>
          <w:lang w:eastAsia="ru-RU"/>
        </w:rPr>
        <w:t>.</w:t>
      </w:r>
      <w:r>
        <w:rPr>
          <w:rFonts w:ascii="Arial" w:hAnsi="Arial" w:cs="Arial"/>
          <w:color w:val="000000"/>
          <w:lang w:eastAsia="ru-RU"/>
        </w:rPr>
        <w:t>»</w:t>
      </w:r>
      <w:proofErr w:type="gramEnd"/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 w:rsidRPr="0025485E">
        <w:rPr>
          <w:rFonts w:cs="Arial"/>
          <w:sz w:val="24"/>
        </w:rPr>
        <w:lastRenderedPageBreak/>
        <w:t xml:space="preserve">Приложение № </w:t>
      </w:r>
      <w:r>
        <w:rPr>
          <w:rFonts w:cs="Arial"/>
          <w:sz w:val="24"/>
        </w:rPr>
        <w:t>2</w:t>
      </w:r>
      <w:r w:rsidRPr="0025485E">
        <w:rPr>
          <w:rFonts w:cs="Arial"/>
          <w:sz w:val="24"/>
        </w:rPr>
        <w:t xml:space="preserve"> </w:t>
      </w: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>
        <w:rPr>
          <w:rFonts w:cs="Arial"/>
          <w:sz w:val="24"/>
        </w:rPr>
        <w:t>к</w:t>
      </w:r>
      <w:r w:rsidRPr="0025485E">
        <w:rPr>
          <w:rFonts w:cs="Arial"/>
          <w:sz w:val="24"/>
        </w:rPr>
        <w:t xml:space="preserve"> Решению Собрания депутатов </w:t>
      </w:r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proofErr w:type="spellStart"/>
      <w:r w:rsidRPr="0025485E">
        <w:rPr>
          <w:rFonts w:cs="Arial"/>
          <w:sz w:val="24"/>
        </w:rPr>
        <w:t>Гостомлянского</w:t>
      </w:r>
      <w:proofErr w:type="spellEnd"/>
      <w:r w:rsidRPr="0025485E">
        <w:rPr>
          <w:rFonts w:cs="Arial"/>
          <w:sz w:val="24"/>
        </w:rPr>
        <w:t xml:space="preserve"> сельсовета </w:t>
      </w:r>
      <w:proofErr w:type="gramStart"/>
      <w:r w:rsidRPr="0025485E">
        <w:rPr>
          <w:rFonts w:cs="Arial"/>
          <w:sz w:val="24"/>
        </w:rPr>
        <w:t>от</w:t>
      </w:r>
      <w:proofErr w:type="gramEnd"/>
    </w:p>
    <w:p w:rsidR="006507EB" w:rsidRPr="0025485E" w:rsidRDefault="006507EB" w:rsidP="006507EB">
      <w:pPr>
        <w:pStyle w:val="a5"/>
        <w:autoSpaceDE w:val="0"/>
        <w:ind w:left="750"/>
        <w:jc w:val="right"/>
        <w:rPr>
          <w:rFonts w:cs="Arial"/>
          <w:sz w:val="24"/>
        </w:rPr>
      </w:pPr>
      <w:r w:rsidRPr="0025485E">
        <w:rPr>
          <w:rFonts w:cs="Arial"/>
          <w:sz w:val="24"/>
        </w:rPr>
        <w:t>30.05.2016 года № 12/49</w:t>
      </w: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Default="006507EB" w:rsidP="006507EB">
      <w:pPr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6507EB" w:rsidRPr="000F122F" w:rsidRDefault="006507EB" w:rsidP="006507EB">
      <w:pPr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«</w:t>
      </w:r>
      <w:r w:rsidRPr="000F122F">
        <w:rPr>
          <w:rFonts w:ascii="Arial" w:hAnsi="Arial" w:cs="Arial"/>
          <w:b/>
          <w:bCs/>
          <w:color w:val="000000"/>
          <w:lang w:eastAsia="ru-RU"/>
        </w:rPr>
        <w:t>Методика</w:t>
      </w:r>
    </w:p>
    <w:p w:rsidR="006507EB" w:rsidRPr="000F122F" w:rsidRDefault="006507EB" w:rsidP="006507EB">
      <w:pPr>
        <w:jc w:val="center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b/>
          <w:bCs/>
          <w:color w:val="000000"/>
          <w:lang w:eastAsia="ru-RU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6507EB" w:rsidRPr="000F122F" w:rsidRDefault="006507EB" w:rsidP="006507EB">
      <w:pPr>
        <w:jc w:val="center"/>
        <w:rPr>
          <w:rFonts w:ascii="Arial" w:hAnsi="Arial" w:cs="Arial"/>
          <w:color w:val="000000"/>
          <w:lang w:eastAsia="ru-RU"/>
        </w:rPr>
      </w:pP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№ 22-ФЗ (с изменениями и дополнениями); Федеральный закон от 10.01.2002 № 7-ФЗ «Об охране окружающей среды»; Правила отпуска древесины на корню в лесах Российской Федерации, утвержденные постановлением Правительства РФ от 01.06.1998 № 551.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1.Общие положения.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proofErr w:type="spellStart"/>
      <w:r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сельсовета (далее по тексту сельского поселения).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1.2. Методика применяется: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гослесфонда</w:t>
      </w:r>
      <w:proofErr w:type="spellEnd"/>
      <w:r w:rsidRPr="000F122F">
        <w:rPr>
          <w:rFonts w:ascii="Arial" w:hAnsi="Arial" w:cs="Arial"/>
          <w:color w:val="000000"/>
          <w:lang w:eastAsia="ru-RU"/>
        </w:rPr>
        <w:t>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F122F">
        <w:rPr>
          <w:rFonts w:ascii="Arial" w:hAnsi="Arial" w:cs="Arial"/>
          <w:color w:val="000000"/>
          <w:lang w:eastAsia="ru-RU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  <w:proofErr w:type="gramEnd"/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гослесфонда</w:t>
      </w:r>
      <w:proofErr w:type="spellEnd"/>
      <w:r w:rsidRPr="000F122F">
        <w:rPr>
          <w:rFonts w:ascii="Arial" w:hAnsi="Arial" w:cs="Arial"/>
          <w:color w:val="000000"/>
          <w:lang w:eastAsia="ru-RU"/>
        </w:rPr>
        <w:t>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по</w:t>
      </w:r>
      <w:proofErr w:type="gramEnd"/>
      <w:r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своим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) поправочных коэффициентов, позволяющих учесть влияние на ценность </w:t>
      </w:r>
      <w:r w:rsidRPr="000F122F">
        <w:rPr>
          <w:rFonts w:ascii="Arial" w:hAnsi="Arial" w:cs="Arial"/>
          <w:color w:val="000000"/>
          <w:lang w:eastAsia="ru-RU"/>
        </w:rPr>
        <w:lastRenderedPageBreak/>
        <w:t>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2. Классификация растительности для целей стоимостной оценки зеленых насаждений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других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 xml:space="preserve">санитарно-защитных,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водоохранных</w:t>
      </w:r>
      <w:proofErr w:type="spellEnd"/>
      <w:r w:rsidRPr="000F122F">
        <w:rPr>
          <w:rFonts w:ascii="Arial" w:hAnsi="Arial" w:cs="Arial"/>
          <w:color w:val="000000"/>
          <w:lang w:eastAsia="ru-RU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  <w:proofErr w:type="gramEnd"/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2) для второго типа - по типам естественных растительных сообществ.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lastRenderedPageBreak/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3. Расчет компенсационной стоимости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=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Кз</w:t>
      </w:r>
      <w:proofErr w:type="spellEnd"/>
      <w:proofErr w:type="gramStart"/>
      <w:r w:rsidRPr="000F122F">
        <w:rPr>
          <w:rFonts w:ascii="Arial" w:hAnsi="Arial" w:cs="Arial"/>
          <w:color w:val="000000"/>
          <w:lang w:eastAsia="ru-RU"/>
        </w:rPr>
        <w:t xml:space="preserve"> *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К</w:t>
      </w:r>
      <w:proofErr w:type="gramEnd"/>
      <w:r w:rsidRPr="000F122F">
        <w:rPr>
          <w:rFonts w:ascii="Arial" w:hAnsi="Arial" w:cs="Arial"/>
          <w:color w:val="000000"/>
          <w:lang w:eastAsia="ru-RU"/>
        </w:rPr>
        <w:t>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Ксост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Км * МРОТ, где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пог</w:t>
      </w:r>
      <w:proofErr w:type="spellEnd"/>
      <w:r w:rsidRPr="000F122F">
        <w:rPr>
          <w:rFonts w:ascii="Arial" w:hAnsi="Arial" w:cs="Arial"/>
          <w:color w:val="000000"/>
          <w:lang w:eastAsia="ru-RU"/>
        </w:rPr>
        <w:t>. м живой изгороди, 1 кв. м травянистой, лесной или иной растительности) (таблицы N 1 и N 2);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proofErr w:type="gramStart"/>
      <w:r w:rsidRPr="000F122F">
        <w:rPr>
          <w:rFonts w:ascii="Arial" w:hAnsi="Arial" w:cs="Arial"/>
          <w:color w:val="000000"/>
          <w:lang w:eastAsia="ru-RU"/>
        </w:rPr>
        <w:t>Кз</w:t>
      </w:r>
      <w:proofErr w:type="spellEnd"/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- коэффициент поправки на социально-экологическую значимость зеленых насаждений.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  <w:proofErr w:type="gramEnd"/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Кв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коэффициент поправки на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водоохранную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ценность зеленых насаждений. Учитывает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водоохранные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водоохранной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Ксост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F122F">
        <w:rPr>
          <w:rFonts w:ascii="Arial" w:hAnsi="Arial" w:cs="Arial"/>
          <w:color w:val="000000"/>
          <w:lang w:eastAsia="ru-RU"/>
        </w:rPr>
        <w:t>Км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МРОТ - установленный законами минимальный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размер оплаты труда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на дату оценки.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Компенсационная стоимость установлена без учета НДС.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4.1. Исчисление размера ущерба (убытка, вреда) осуществляется в 4 этапа.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lastRenderedPageBreak/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водоохранных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proofErr w:type="gramStart"/>
      <w:r w:rsidRPr="000F122F">
        <w:rPr>
          <w:rFonts w:ascii="Arial" w:hAnsi="Arial" w:cs="Arial"/>
          <w:color w:val="000000"/>
          <w:lang w:eastAsia="ru-RU"/>
        </w:rPr>
        <w:t>Кз</w:t>
      </w:r>
      <w:proofErr w:type="spellEnd"/>
      <w:proofErr w:type="gramEnd"/>
      <w:r w:rsidRPr="000F122F">
        <w:rPr>
          <w:rFonts w:ascii="Arial" w:hAnsi="Arial" w:cs="Arial"/>
          <w:color w:val="000000"/>
          <w:lang w:eastAsia="ru-RU"/>
        </w:rPr>
        <w:t>).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(таблица N 1, 2).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У = (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N +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Скк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L +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Скт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*S) * МРОТ, где: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У - размер ущерба, вызванный уничтожением зеленых насаждений;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Сдв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N - количество уничтоженных деревьев, кустарников;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Скк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L - количество уничтоженных метров живой изгороди;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Скт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компенсационная стоимость травянистой растительности (в расчете на 1 кв. м травянистой растительности);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МРОТ - установленный законом минимальный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размер оплаты труда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на дату оценки.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У = </w:t>
      </w:r>
      <w:proofErr w:type="spellStart"/>
      <w:r w:rsidRPr="000F122F">
        <w:rPr>
          <w:rFonts w:ascii="Arial" w:hAnsi="Arial" w:cs="Arial"/>
          <w:color w:val="000000"/>
          <w:lang w:eastAsia="ru-RU"/>
        </w:rPr>
        <w:t>Спк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* S * МРОТ, где: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0F122F">
        <w:rPr>
          <w:rFonts w:ascii="Arial" w:hAnsi="Arial" w:cs="Arial"/>
          <w:color w:val="000000"/>
          <w:lang w:eastAsia="ru-RU"/>
        </w:rPr>
        <w:t>Спк</w:t>
      </w:r>
      <w:proofErr w:type="spellEnd"/>
      <w:r w:rsidRPr="000F122F">
        <w:rPr>
          <w:rFonts w:ascii="Arial" w:hAnsi="Arial" w:cs="Arial"/>
          <w:color w:val="000000"/>
          <w:lang w:eastAsia="ru-RU"/>
        </w:rPr>
        <w:t xml:space="preserve"> - компенсационная стоимость естественных растительных сообществ;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S - площадь естественных растительных сообществ;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 xml:space="preserve">МРОТ - установленный законом минимальный </w:t>
      </w:r>
      <w:proofErr w:type="gramStart"/>
      <w:r w:rsidRPr="000F122F">
        <w:rPr>
          <w:rFonts w:ascii="Arial" w:hAnsi="Arial" w:cs="Arial"/>
          <w:color w:val="000000"/>
          <w:lang w:eastAsia="ru-RU"/>
        </w:rPr>
        <w:t>размер оплаты труда</w:t>
      </w:r>
      <w:proofErr w:type="gramEnd"/>
      <w:r w:rsidRPr="000F122F">
        <w:rPr>
          <w:rFonts w:ascii="Arial" w:hAnsi="Arial" w:cs="Arial"/>
          <w:color w:val="000000"/>
          <w:lang w:eastAsia="ru-RU"/>
        </w:rPr>
        <w:t xml:space="preserve"> на дату оценки.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lastRenderedPageBreak/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6507EB" w:rsidRPr="000F122F" w:rsidRDefault="006507EB" w:rsidP="006507EB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t>4) На четвертом этапе заполняется ведомость учета зеленых насаждений (таблица №3).</w:t>
      </w:r>
      <w:r>
        <w:rPr>
          <w:rFonts w:ascii="Arial" w:hAnsi="Arial" w:cs="Arial"/>
          <w:color w:val="000000"/>
          <w:lang w:eastAsia="ru-RU"/>
        </w:rPr>
        <w:t>»</w:t>
      </w: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  <w:r w:rsidRPr="000F122F">
        <w:rPr>
          <w:rFonts w:ascii="Arial" w:hAnsi="Arial" w:cs="Arial"/>
          <w:color w:val="000000"/>
          <w:lang w:eastAsia="ru-RU"/>
        </w:rPr>
        <w:br w:type="page"/>
      </w:r>
      <w:r w:rsidRPr="00983628">
        <w:rPr>
          <w:color w:val="000000"/>
          <w:lang w:eastAsia="ru-RU"/>
        </w:rPr>
        <w:lastRenderedPageBreak/>
        <w:t>Таблица N 1</w:t>
      </w:r>
    </w:p>
    <w:p w:rsidR="006507EB" w:rsidRDefault="006507EB" w:rsidP="006507EB">
      <w:pPr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Действительная восстановительная стоимость деревьев (СДВ), единицы, кратные МРОТ</w:t>
      </w:r>
    </w:p>
    <w:p w:rsidR="006507EB" w:rsidRDefault="006507EB" w:rsidP="006507EB">
      <w:pPr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jc w:val="both"/>
        <w:rPr>
          <w:color w:val="000000"/>
          <w:lang w:eastAsia="ru-RU"/>
        </w:rPr>
      </w:pPr>
    </w:p>
    <w:tbl>
      <w:tblPr>
        <w:tblW w:w="0" w:type="auto"/>
        <w:tblCellSpacing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357"/>
        <w:gridCol w:w="851"/>
        <w:gridCol w:w="850"/>
        <w:gridCol w:w="851"/>
        <w:gridCol w:w="1061"/>
      </w:tblGrid>
      <w:tr w:rsidR="006507EB" w:rsidRPr="00983628" w:rsidTr="00866766">
        <w:trPr>
          <w:tblCellSpacing w:w="0" w:type="dxa"/>
        </w:trPr>
        <w:tc>
          <w:tcPr>
            <w:tcW w:w="597" w:type="dxa"/>
            <w:vMerge w:val="restar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  <w:r w:rsidRPr="00983628">
              <w:rPr>
                <w:color w:val="000000"/>
                <w:lang w:eastAsia="ru-RU"/>
              </w:rPr>
              <w:t xml:space="preserve"> </w:t>
            </w:r>
            <w:proofErr w:type="gramStart"/>
            <w:r w:rsidRPr="00983628">
              <w:rPr>
                <w:color w:val="000000"/>
                <w:lang w:eastAsia="ru-RU"/>
              </w:rPr>
              <w:t>п</w:t>
            </w:r>
            <w:proofErr w:type="gramEnd"/>
            <w:r w:rsidRPr="00983628">
              <w:rPr>
                <w:color w:val="000000"/>
                <w:lang w:eastAsia="ru-RU"/>
              </w:rPr>
              <w:t>/п</w:t>
            </w:r>
          </w:p>
        </w:tc>
        <w:tc>
          <w:tcPr>
            <w:tcW w:w="5357" w:type="dxa"/>
            <w:vMerge w:val="restar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Древесная растительность</w:t>
            </w:r>
          </w:p>
        </w:tc>
        <w:tc>
          <w:tcPr>
            <w:tcW w:w="3613" w:type="dxa"/>
            <w:gridSpan w:val="4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Диаметр дерева на высоте 1,3 м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vMerge/>
            <w:shd w:val="clear" w:color="auto" w:fill="auto"/>
            <w:vAlign w:val="center"/>
            <w:hideMark/>
          </w:tcPr>
          <w:p w:rsidR="006507EB" w:rsidRPr="00983628" w:rsidRDefault="006507EB" w:rsidP="00866766">
            <w:pPr>
              <w:rPr>
                <w:color w:val="000000"/>
                <w:lang w:eastAsia="ru-RU"/>
              </w:rPr>
            </w:pPr>
          </w:p>
        </w:tc>
        <w:tc>
          <w:tcPr>
            <w:tcW w:w="5357" w:type="dxa"/>
            <w:vMerge/>
            <w:shd w:val="clear" w:color="auto" w:fill="auto"/>
            <w:vAlign w:val="center"/>
            <w:hideMark/>
          </w:tcPr>
          <w:p w:rsidR="006507EB" w:rsidRPr="00983628" w:rsidRDefault="006507EB" w:rsidP="00866766">
            <w:pPr>
              <w:ind w:firstLine="184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До 12 см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12,1- 24 см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24,1- </w:t>
            </w:r>
            <w:r w:rsidRPr="00983628">
              <w:rPr>
                <w:color w:val="000000"/>
                <w:lang w:eastAsia="ru-RU"/>
              </w:rPr>
              <w:t>40 см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40,1 и более </w:t>
            </w:r>
            <w:proofErr w:type="gramStart"/>
            <w:r w:rsidRPr="00983628">
              <w:rPr>
                <w:color w:val="000000"/>
                <w:lang w:eastAsia="ru-RU"/>
              </w:rPr>
              <w:t>см</w:t>
            </w:r>
            <w:proofErr w:type="gramEnd"/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Хвойные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68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96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Широколиственные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66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82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3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Мелколиственные и фруктовые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63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63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proofErr w:type="gramStart"/>
            <w:r w:rsidRPr="00983628">
              <w:rPr>
                <w:color w:val="000000"/>
                <w:lang w:eastAsia="ru-RU"/>
              </w:rPr>
              <w:t>Малоценные</w:t>
            </w:r>
            <w:proofErr w:type="gramEnd"/>
            <w:r w:rsidRPr="00983628">
              <w:rPr>
                <w:color w:val="000000"/>
                <w:lang w:eastAsia="ru-RU"/>
              </w:rPr>
              <w:t xml:space="preserve"> (тополь бальзамический, клен </w:t>
            </w:r>
            <w:proofErr w:type="spellStart"/>
            <w:r w:rsidRPr="00983628">
              <w:rPr>
                <w:color w:val="000000"/>
                <w:lang w:eastAsia="ru-RU"/>
              </w:rPr>
              <w:t>ясенелистный</w:t>
            </w:r>
            <w:proofErr w:type="spellEnd"/>
            <w:r w:rsidRPr="00983628">
              <w:rPr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28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28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Декоративные и экзотические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112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132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164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59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84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Поросль малоценных видов древесной растительности (клен </w:t>
            </w:r>
            <w:proofErr w:type="spellStart"/>
            <w:r w:rsidRPr="00983628">
              <w:rPr>
                <w:color w:val="000000"/>
                <w:lang w:eastAsia="ru-RU"/>
              </w:rPr>
              <w:t>ясенелистный</w:t>
            </w:r>
            <w:proofErr w:type="spellEnd"/>
            <w:r w:rsidRPr="00983628">
              <w:rPr>
                <w:color w:val="000000"/>
                <w:lang w:eastAsia="ru-RU"/>
              </w:rPr>
              <w:t>) диаметром менее 5 см в расчетах не учитывается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6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62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-</w:t>
            </w:r>
          </w:p>
        </w:tc>
      </w:tr>
    </w:tbl>
    <w:p w:rsidR="006507EB" w:rsidRDefault="006507EB" w:rsidP="006507EB">
      <w:pPr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Таблица N 2</w:t>
      </w:r>
    </w:p>
    <w:p w:rsidR="006507EB" w:rsidRDefault="006507EB" w:rsidP="006507EB">
      <w:pPr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6507EB" w:rsidRDefault="006507EB" w:rsidP="006507EB">
      <w:pPr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jc w:val="both"/>
        <w:rPr>
          <w:color w:val="000000"/>
          <w:lang w:eastAsia="ru-RU"/>
        </w:rPr>
      </w:pPr>
    </w:p>
    <w:tbl>
      <w:tblPr>
        <w:tblW w:w="0" w:type="auto"/>
        <w:tblCellSpacing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372"/>
        <w:gridCol w:w="2551"/>
      </w:tblGrid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N </w:t>
            </w:r>
            <w:proofErr w:type="gramStart"/>
            <w:r w:rsidRPr="00983628">
              <w:rPr>
                <w:color w:val="000000"/>
                <w:lang w:eastAsia="ru-RU"/>
              </w:rPr>
              <w:t>п</w:t>
            </w:r>
            <w:proofErr w:type="gramEnd"/>
            <w:r w:rsidRPr="00983628">
              <w:rPr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Кустарники и другие элементы озеленения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Стоимость (единицы, кратные МРОТ)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Одиночные кустарники и лианы высотой  до 1 м, шт.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1,4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5,5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Одиночные кустарники и лианы высотой  2-3 м, шт.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8,1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Одиночные кустарники и лианы высотой  до 4-5 м, шт.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10,9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983628">
              <w:rPr>
                <w:color w:val="000000"/>
                <w:lang w:eastAsia="ru-RU"/>
              </w:rPr>
              <w:t>магония</w:t>
            </w:r>
            <w:proofErr w:type="spellEnd"/>
            <w:r w:rsidRPr="00983628">
              <w:rPr>
                <w:color w:val="000000"/>
                <w:lang w:eastAsia="ru-RU"/>
              </w:rPr>
              <w:t>, скумпия и др.)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22,0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Однорядная живая изгородь, </w:t>
            </w:r>
            <w:proofErr w:type="gramStart"/>
            <w:r w:rsidRPr="00983628">
              <w:rPr>
                <w:color w:val="000000"/>
                <w:lang w:eastAsia="ru-RU"/>
              </w:rPr>
              <w:t>м</w:t>
            </w:r>
            <w:proofErr w:type="gramEnd"/>
            <w:r w:rsidRPr="00983628">
              <w:rPr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3,6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Двухрядная живая изгородь, </w:t>
            </w:r>
            <w:proofErr w:type="gramStart"/>
            <w:r w:rsidRPr="00983628">
              <w:rPr>
                <w:color w:val="000000"/>
                <w:lang w:eastAsia="ru-RU"/>
              </w:rPr>
              <w:t>м</w:t>
            </w:r>
            <w:proofErr w:type="gramEnd"/>
            <w:r w:rsidRPr="00983628">
              <w:rPr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4,1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Газон партерный, кв. м.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6,0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Естественный травяной покров, кв. м.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5,0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Газон луговой, кв. м.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5,0</w:t>
            </w:r>
          </w:p>
        </w:tc>
      </w:tr>
      <w:tr w:rsidR="006507EB" w:rsidRPr="00983628" w:rsidTr="00866766">
        <w:trPr>
          <w:tblCellSpacing w:w="0" w:type="dxa"/>
        </w:trPr>
        <w:tc>
          <w:tcPr>
            <w:tcW w:w="6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27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Цветник, кв. м.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144"/>
              <w:jc w:val="center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7,0</w:t>
            </w:r>
          </w:p>
        </w:tc>
      </w:tr>
    </w:tbl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Default="006507EB" w:rsidP="006507EB">
      <w:pPr>
        <w:ind w:firstLine="709"/>
        <w:jc w:val="right"/>
        <w:rPr>
          <w:color w:val="000000"/>
          <w:lang w:eastAsia="ru-RU"/>
        </w:rPr>
        <w:sectPr w:rsidR="006507EB" w:rsidSect="00985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  <w:r w:rsidRPr="00983628">
        <w:rPr>
          <w:color w:val="000000"/>
          <w:lang w:eastAsia="ru-RU"/>
        </w:rPr>
        <w:lastRenderedPageBreak/>
        <w:t>Таблица №3</w:t>
      </w: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Ведомость</w:t>
      </w: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Учета зеленых насаждений для исчисления размера ущерба, вызываемого их</w:t>
      </w: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уничтожением и повреждением отдельно стоящие деревья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tbl>
      <w:tblPr>
        <w:tblW w:w="15588" w:type="dxa"/>
        <w:tblCellSpacing w:w="15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34"/>
        <w:gridCol w:w="1726"/>
        <w:gridCol w:w="1676"/>
        <w:gridCol w:w="1701"/>
        <w:gridCol w:w="1324"/>
        <w:gridCol w:w="1134"/>
        <w:gridCol w:w="1649"/>
        <w:gridCol w:w="1044"/>
        <w:gridCol w:w="992"/>
        <w:gridCol w:w="1283"/>
        <w:gridCol w:w="932"/>
      </w:tblGrid>
      <w:tr w:rsidR="006507EB" w:rsidRPr="00983628" w:rsidTr="00866766">
        <w:trPr>
          <w:tblCellSpacing w:w="15" w:type="dxa"/>
        </w:trPr>
        <w:tc>
          <w:tcPr>
            <w:tcW w:w="64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N </w:t>
            </w:r>
            <w:proofErr w:type="gramStart"/>
            <w:r w:rsidRPr="00983628">
              <w:rPr>
                <w:color w:val="000000"/>
                <w:lang w:eastAsia="ru-RU"/>
              </w:rPr>
              <w:t>п</w:t>
            </w:r>
            <w:proofErr w:type="gramEnd"/>
            <w:r w:rsidRPr="00983628">
              <w:rPr>
                <w:color w:val="000000"/>
                <w:lang w:eastAsia="ru-RU"/>
              </w:rPr>
              <w:t>/п</w:t>
            </w:r>
          </w:p>
        </w:tc>
        <w:tc>
          <w:tcPr>
            <w:tcW w:w="140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Порода древесной растительности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поправки на социально-</w:t>
            </w:r>
            <w:proofErr w:type="spellStart"/>
            <w:r w:rsidRPr="00983628">
              <w:rPr>
                <w:color w:val="000000"/>
                <w:lang w:eastAsia="ru-RU"/>
              </w:rPr>
              <w:t>экологическуюзначимость</w:t>
            </w:r>
            <w:proofErr w:type="spellEnd"/>
            <w:r w:rsidRPr="00983628">
              <w:rPr>
                <w:color w:val="000000"/>
                <w:lang w:eastAsia="ru-RU"/>
              </w:rPr>
              <w:t xml:space="preserve"> зеленых насаждений</w:t>
            </w:r>
          </w:p>
        </w:tc>
        <w:tc>
          <w:tcPr>
            <w:tcW w:w="164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16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right="150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</w:t>
            </w:r>
            <w:r>
              <w:rPr>
                <w:color w:val="000000"/>
                <w:lang w:eastAsia="ru-RU"/>
              </w:rPr>
              <w:t xml:space="preserve">ки на </w:t>
            </w:r>
            <w:proofErr w:type="spellStart"/>
            <w:r>
              <w:rPr>
                <w:color w:val="000000"/>
                <w:lang w:eastAsia="ru-RU"/>
              </w:rPr>
              <w:t>водоохранну</w:t>
            </w:r>
            <w:r w:rsidRPr="00983628">
              <w:rPr>
                <w:color w:val="000000"/>
                <w:lang w:eastAsia="ru-RU"/>
              </w:rPr>
              <w:t>ю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983628">
              <w:rPr>
                <w:color w:val="000000"/>
                <w:lang w:eastAsia="ru-RU"/>
              </w:rPr>
              <w:t>ценность зеленых насаждений</w:t>
            </w:r>
          </w:p>
        </w:tc>
        <w:tc>
          <w:tcPr>
            <w:tcW w:w="12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Количество деревьев, шт.</w:t>
            </w:r>
          </w:p>
        </w:tc>
        <w:tc>
          <w:tcPr>
            <w:tcW w:w="110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983628">
              <w:rPr>
                <w:color w:val="000000"/>
                <w:lang w:eastAsia="ru-RU"/>
              </w:rPr>
              <w:t>Диаметрна</w:t>
            </w:r>
            <w:proofErr w:type="spellEnd"/>
            <w:r w:rsidRPr="00983628">
              <w:rPr>
                <w:color w:val="000000"/>
                <w:lang w:eastAsia="ru-RU"/>
              </w:rPr>
              <w:t xml:space="preserve"> высоте 1,3 м, см.</w:t>
            </w:r>
          </w:p>
        </w:tc>
        <w:tc>
          <w:tcPr>
            <w:tcW w:w="16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hanging="3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101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Заключение</w:t>
            </w:r>
          </w:p>
        </w:tc>
        <w:tc>
          <w:tcPr>
            <w:tcW w:w="9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Компенса</w:t>
            </w:r>
            <w:r w:rsidRPr="00983628">
              <w:rPr>
                <w:color w:val="000000"/>
                <w:lang w:eastAsia="ru-RU"/>
              </w:rPr>
              <w:t>ционная стоимость, руб.</w:t>
            </w:r>
          </w:p>
        </w:tc>
        <w:tc>
          <w:tcPr>
            <w:tcW w:w="125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Восстано</w:t>
            </w:r>
            <w:r w:rsidRPr="00983628">
              <w:rPr>
                <w:color w:val="000000"/>
                <w:lang w:eastAsia="ru-RU"/>
              </w:rPr>
              <w:t>вительная стоимость, руб./шт.</w:t>
            </w:r>
          </w:p>
        </w:tc>
        <w:tc>
          <w:tcPr>
            <w:tcW w:w="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Всего к оплате, (руб.)</w:t>
            </w:r>
          </w:p>
        </w:tc>
      </w:tr>
      <w:tr w:rsidR="006507EB" w:rsidRPr="00983628" w:rsidTr="00866766">
        <w:trPr>
          <w:tblCellSpacing w:w="15" w:type="dxa"/>
        </w:trPr>
        <w:tc>
          <w:tcPr>
            <w:tcW w:w="64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57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hanging="3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</w:p>
        </w:tc>
      </w:tr>
    </w:tbl>
    <w:p w:rsidR="006507EB" w:rsidRDefault="006507EB" w:rsidP="006507EB">
      <w:pPr>
        <w:ind w:firstLine="709"/>
        <w:jc w:val="both"/>
        <w:rPr>
          <w:b/>
          <w:bCs/>
          <w:color w:val="000000"/>
          <w:lang w:eastAsia="ru-RU"/>
        </w:rPr>
      </w:pPr>
    </w:p>
    <w:p w:rsidR="006507EB" w:rsidRDefault="006507EB" w:rsidP="006507EB">
      <w:pPr>
        <w:ind w:firstLine="709"/>
        <w:jc w:val="both"/>
        <w:rPr>
          <w:b/>
          <w:bCs/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Отдельно стоящие кустарники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tbl>
      <w:tblPr>
        <w:tblW w:w="15593" w:type="dxa"/>
        <w:tblCellSpacing w:w="15" w:type="dxa"/>
        <w:tblInd w:w="-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701"/>
        <w:gridCol w:w="1701"/>
        <w:gridCol w:w="1276"/>
        <w:gridCol w:w="1276"/>
        <w:gridCol w:w="1701"/>
        <w:gridCol w:w="850"/>
        <w:gridCol w:w="992"/>
        <w:gridCol w:w="1276"/>
        <w:gridCol w:w="992"/>
      </w:tblGrid>
      <w:tr w:rsidR="006507EB" w:rsidRPr="00983628" w:rsidTr="00866766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 xml:space="preserve">N </w:t>
            </w:r>
            <w:proofErr w:type="gramStart"/>
            <w:r w:rsidRPr="00983628">
              <w:rPr>
                <w:color w:val="000000"/>
                <w:lang w:eastAsia="ru-RU"/>
              </w:rPr>
              <w:t>п</w:t>
            </w:r>
            <w:proofErr w:type="gramEnd"/>
            <w:r w:rsidRPr="00983628">
              <w:rPr>
                <w:color w:val="000000"/>
                <w:lang w:eastAsia="ru-RU"/>
              </w:rPr>
              <w:t>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Порода древесной растительности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</w:t>
            </w:r>
            <w:r>
              <w:rPr>
                <w:color w:val="000000"/>
                <w:lang w:eastAsia="ru-RU"/>
              </w:rPr>
              <w:t xml:space="preserve">ки на </w:t>
            </w:r>
            <w:proofErr w:type="spellStart"/>
            <w:r>
              <w:rPr>
                <w:color w:val="000000"/>
                <w:lang w:eastAsia="ru-RU"/>
              </w:rPr>
              <w:t>водоохранную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983628">
              <w:rPr>
                <w:color w:val="000000"/>
                <w:lang w:eastAsia="ru-RU"/>
              </w:rPr>
              <w:t>ценность зеленых насаждений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Количество деревьев, шт.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Диаметр на высоте 1,3 м, см/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Заключение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Компенса</w:t>
            </w:r>
            <w:r w:rsidRPr="00983628">
              <w:rPr>
                <w:color w:val="000000"/>
                <w:lang w:eastAsia="ru-RU"/>
              </w:rPr>
              <w:t>ционная стоимость, руб.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Восстановительная</w:t>
            </w:r>
            <w:r>
              <w:rPr>
                <w:color w:val="000000"/>
                <w:lang w:eastAsia="ru-RU"/>
              </w:rPr>
              <w:t xml:space="preserve"> </w:t>
            </w:r>
            <w:r w:rsidRPr="00983628">
              <w:rPr>
                <w:color w:val="000000"/>
                <w:lang w:eastAsia="ru-RU"/>
              </w:rPr>
              <w:t>стоимость,</w:t>
            </w:r>
            <w:r>
              <w:rPr>
                <w:color w:val="000000"/>
                <w:lang w:eastAsia="ru-RU"/>
              </w:rPr>
              <w:t xml:space="preserve"> </w:t>
            </w:r>
            <w:r w:rsidRPr="00983628">
              <w:rPr>
                <w:color w:val="000000"/>
                <w:lang w:eastAsia="ru-RU"/>
              </w:rPr>
              <w:t>руб./шт.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Всего к оплате, (руб.)</w:t>
            </w:r>
          </w:p>
        </w:tc>
      </w:tr>
      <w:tr w:rsidR="006507EB" w:rsidRPr="00983628" w:rsidTr="00866766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07EB" w:rsidRPr="00983628" w:rsidRDefault="006507EB" w:rsidP="00866766">
            <w:pPr>
              <w:ind w:firstLine="709"/>
              <w:jc w:val="both"/>
              <w:rPr>
                <w:color w:val="000000"/>
                <w:lang w:eastAsia="ru-RU"/>
              </w:rPr>
            </w:pPr>
            <w:r w:rsidRPr="00983628">
              <w:rPr>
                <w:color w:val="000000"/>
                <w:lang w:eastAsia="ru-RU"/>
              </w:rPr>
              <w:t> </w:t>
            </w:r>
          </w:p>
        </w:tc>
      </w:tr>
    </w:tbl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 </w:t>
      </w:r>
    </w:p>
    <w:p w:rsidR="006507EB" w:rsidRDefault="006507EB" w:rsidP="006507EB">
      <w:pPr>
        <w:ind w:firstLine="709"/>
        <w:jc w:val="both"/>
        <w:rPr>
          <w:color w:val="000000"/>
          <w:lang w:eastAsia="ru-RU"/>
        </w:rPr>
        <w:sectPr w:rsidR="006507EB" w:rsidSect="009853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07EB" w:rsidRPr="0025485E" w:rsidRDefault="006507EB" w:rsidP="006507EB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r w:rsidRPr="0025485E">
        <w:rPr>
          <w:rFonts w:ascii="Arial" w:hAnsi="Arial" w:cs="Arial"/>
          <w:color w:val="000000"/>
          <w:lang w:eastAsia="ru-RU"/>
        </w:rPr>
        <w:lastRenderedPageBreak/>
        <w:t>Приложение N 3</w:t>
      </w:r>
    </w:p>
    <w:p w:rsidR="006507EB" w:rsidRPr="0025485E" w:rsidRDefault="006507EB" w:rsidP="006507EB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r w:rsidRPr="0025485E">
        <w:rPr>
          <w:rFonts w:ascii="Arial" w:hAnsi="Arial" w:cs="Arial"/>
          <w:color w:val="000000"/>
          <w:lang w:eastAsia="ru-RU"/>
        </w:rPr>
        <w:t>к Решению Собрания депутатов</w:t>
      </w:r>
    </w:p>
    <w:p w:rsidR="006507EB" w:rsidRPr="0025485E" w:rsidRDefault="006507EB" w:rsidP="006507EB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proofErr w:type="spellStart"/>
      <w:r w:rsidRPr="0025485E">
        <w:rPr>
          <w:rFonts w:ascii="Arial" w:hAnsi="Arial" w:cs="Arial"/>
          <w:color w:val="000000"/>
          <w:lang w:eastAsia="ru-RU"/>
        </w:rPr>
        <w:t>Гостомлянского</w:t>
      </w:r>
      <w:proofErr w:type="spellEnd"/>
      <w:r w:rsidRPr="0025485E">
        <w:rPr>
          <w:rFonts w:ascii="Arial" w:hAnsi="Arial" w:cs="Arial"/>
          <w:color w:val="000000"/>
          <w:lang w:eastAsia="ru-RU"/>
        </w:rPr>
        <w:t xml:space="preserve"> сельсовета</w:t>
      </w:r>
    </w:p>
    <w:p w:rsidR="006507EB" w:rsidRDefault="006507EB" w:rsidP="006507EB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proofErr w:type="spellStart"/>
      <w:r w:rsidRPr="0025485E">
        <w:rPr>
          <w:rFonts w:ascii="Arial" w:hAnsi="Arial" w:cs="Arial"/>
          <w:color w:val="000000"/>
          <w:lang w:eastAsia="ru-RU"/>
        </w:rPr>
        <w:t>Медвенского</w:t>
      </w:r>
      <w:proofErr w:type="spellEnd"/>
      <w:r w:rsidRPr="0025485E">
        <w:rPr>
          <w:rFonts w:ascii="Arial" w:hAnsi="Arial" w:cs="Arial"/>
          <w:color w:val="000000"/>
          <w:lang w:eastAsia="ru-RU"/>
        </w:rPr>
        <w:t xml:space="preserve"> района</w:t>
      </w:r>
    </w:p>
    <w:p w:rsidR="006507EB" w:rsidRPr="0025485E" w:rsidRDefault="006507EB" w:rsidP="006507EB">
      <w:pPr>
        <w:ind w:firstLine="709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от 30.05.2016 г. № 12/49</w:t>
      </w:r>
      <w:r w:rsidRPr="0025485E">
        <w:rPr>
          <w:rFonts w:ascii="Arial" w:hAnsi="Arial" w:cs="Arial"/>
          <w:color w:val="000000"/>
          <w:lang w:eastAsia="ru-RU"/>
        </w:rPr>
        <w:t xml:space="preserve"> </w:t>
      </w: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right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Акт</w:t>
      </w: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  <w:r w:rsidRPr="00983628">
        <w:rPr>
          <w:b/>
          <w:bCs/>
          <w:color w:val="000000"/>
          <w:lang w:eastAsia="ru-RU"/>
        </w:rPr>
        <w:t>о признании зеленых насаждений, подлежащими вырубке</w:t>
      </w: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</w:p>
    <w:p w:rsidR="006507EB" w:rsidRPr="00983628" w:rsidRDefault="006507EB" w:rsidP="006507EB">
      <w:pPr>
        <w:jc w:val="center"/>
        <w:rPr>
          <w:color w:val="000000"/>
          <w:lang w:eastAsia="ru-RU"/>
        </w:rPr>
      </w:pPr>
    </w:p>
    <w:p w:rsidR="006507EB" w:rsidRPr="00983628" w:rsidRDefault="006507EB" w:rsidP="006507EB">
      <w:pPr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Гостомлянский</w:t>
      </w:r>
      <w:proofErr w:type="spellEnd"/>
      <w:r w:rsidRPr="00983628">
        <w:rPr>
          <w:color w:val="000000"/>
          <w:lang w:eastAsia="ru-RU"/>
        </w:rPr>
        <w:t xml:space="preserve"> сельсовет </w:t>
      </w:r>
      <w:r>
        <w:rPr>
          <w:color w:val="000000"/>
          <w:lang w:eastAsia="ru-RU"/>
        </w:rPr>
        <w:t xml:space="preserve">                                                           </w:t>
      </w:r>
      <w:r w:rsidRPr="00983628">
        <w:rPr>
          <w:color w:val="000000"/>
          <w:lang w:eastAsia="ru-RU"/>
        </w:rPr>
        <w:t xml:space="preserve">«_____»_________ ________ </w:t>
      </w:r>
      <w:proofErr w:type="gramStart"/>
      <w:r w:rsidRPr="00983628">
        <w:rPr>
          <w:color w:val="000000"/>
          <w:lang w:eastAsia="ru-RU"/>
        </w:rPr>
        <w:t>г</w:t>
      </w:r>
      <w:proofErr w:type="gramEnd"/>
      <w:r w:rsidRPr="00983628">
        <w:rPr>
          <w:color w:val="000000"/>
          <w:lang w:eastAsia="ru-RU"/>
        </w:rPr>
        <w:t>.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Комиссия в составе: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1.___________________________________________________________________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 Ф. И. О., должность)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2.___________________________________________________________________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 Ф. И. О., должность)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3.___________________________________________________________________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 Ф. И. О., должность)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провела обследование зеленых насаждений.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Результатами обследования установлено: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lang w:eastAsia="ru-RU"/>
        </w:rPr>
        <w:t>____________________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lang w:eastAsia="ru-RU"/>
        </w:rPr>
        <w:t>______________________________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Члены комиссии: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1.________________________                                             </w:t>
      </w:r>
      <w:r w:rsidRPr="00983628">
        <w:rPr>
          <w:color w:val="000000"/>
          <w:lang w:eastAsia="ru-RU"/>
        </w:rPr>
        <w:t>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(подпись)</w:t>
      </w:r>
      <w:r>
        <w:rPr>
          <w:color w:val="000000"/>
          <w:lang w:eastAsia="ru-RU"/>
        </w:rPr>
        <w:t xml:space="preserve">                                                                                    </w:t>
      </w:r>
      <w:r w:rsidRPr="00983628">
        <w:rPr>
          <w:color w:val="000000"/>
          <w:lang w:eastAsia="ru-RU"/>
        </w:rPr>
        <w:t>(Ф. И. О.)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2</w:t>
      </w:r>
      <w:r>
        <w:rPr>
          <w:color w:val="000000"/>
          <w:lang w:eastAsia="ru-RU"/>
        </w:rPr>
        <w:t xml:space="preserve">.________________________                                             </w:t>
      </w:r>
      <w:r w:rsidRPr="00983628">
        <w:rPr>
          <w:color w:val="000000"/>
          <w:lang w:eastAsia="ru-RU"/>
        </w:rPr>
        <w:t>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(подпись)</w:t>
      </w:r>
      <w:r>
        <w:rPr>
          <w:color w:val="000000"/>
          <w:lang w:eastAsia="ru-RU"/>
        </w:rPr>
        <w:t xml:space="preserve">                                                                                    </w:t>
      </w:r>
      <w:r w:rsidRPr="00983628">
        <w:rPr>
          <w:color w:val="000000"/>
          <w:lang w:eastAsia="ru-RU"/>
        </w:rPr>
        <w:t>(Ф. И. О.)</w:t>
      </w:r>
    </w:p>
    <w:p w:rsidR="006507EB" w:rsidRPr="00983628" w:rsidRDefault="006507EB" w:rsidP="006507EB">
      <w:pPr>
        <w:ind w:firstLine="709"/>
        <w:jc w:val="both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.________________________                                             </w:t>
      </w:r>
      <w:r w:rsidRPr="00983628">
        <w:rPr>
          <w:color w:val="000000"/>
          <w:lang w:eastAsia="ru-RU"/>
        </w:rPr>
        <w:t>_______________________</w:t>
      </w:r>
    </w:p>
    <w:p w:rsidR="006507EB" w:rsidRPr="00983628" w:rsidRDefault="006507EB" w:rsidP="006507EB">
      <w:pPr>
        <w:ind w:firstLine="709"/>
        <w:jc w:val="center"/>
        <w:rPr>
          <w:color w:val="000000"/>
          <w:lang w:eastAsia="ru-RU"/>
        </w:rPr>
      </w:pPr>
      <w:r w:rsidRPr="00983628">
        <w:rPr>
          <w:color w:val="000000"/>
          <w:lang w:eastAsia="ru-RU"/>
        </w:rPr>
        <w:t>(подпись)</w:t>
      </w:r>
      <w:r>
        <w:rPr>
          <w:color w:val="000000"/>
          <w:lang w:eastAsia="ru-RU"/>
        </w:rPr>
        <w:t xml:space="preserve">                                                                                    </w:t>
      </w:r>
      <w:r w:rsidRPr="00983628">
        <w:rPr>
          <w:color w:val="000000"/>
          <w:lang w:eastAsia="ru-RU"/>
        </w:rPr>
        <w:t>(Ф. И. О.)</w:t>
      </w:r>
    </w:p>
    <w:p w:rsidR="006507EB" w:rsidRPr="00983628" w:rsidRDefault="006507EB" w:rsidP="006507EB">
      <w:pPr>
        <w:ind w:firstLine="709"/>
        <w:jc w:val="both"/>
      </w:pPr>
    </w:p>
    <w:p w:rsidR="006507EB" w:rsidRDefault="006507EB" w:rsidP="006507EB">
      <w:pPr>
        <w:pStyle w:val="a5"/>
        <w:autoSpaceDE w:val="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jc w:val="center"/>
        <w:rPr>
          <w:rFonts w:cs="Arial"/>
          <w:b/>
          <w:sz w:val="24"/>
        </w:rPr>
      </w:pPr>
    </w:p>
    <w:p w:rsidR="006507EB" w:rsidRDefault="006507EB" w:rsidP="006507EB">
      <w:pPr>
        <w:pStyle w:val="a5"/>
        <w:autoSpaceDE w:val="0"/>
        <w:jc w:val="center"/>
        <w:rPr>
          <w:rFonts w:cs="Arial"/>
          <w:b/>
          <w:sz w:val="24"/>
        </w:rPr>
      </w:pPr>
    </w:p>
    <w:p w:rsidR="003A7F52" w:rsidRDefault="006507EB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2EE"/>
    <w:multiLevelType w:val="multilevel"/>
    <w:tmpl w:val="B324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30799A"/>
    <w:rsid w:val="006507EB"/>
    <w:rsid w:val="00B67EB4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7EB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650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507EB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7EB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6507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507EB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5002</Words>
  <Characters>28513</Characters>
  <Application>Microsoft Office Word</Application>
  <DocSecurity>0</DocSecurity>
  <Lines>237</Lines>
  <Paragraphs>66</Paragraphs>
  <ScaleCrop>false</ScaleCrop>
  <Company>HP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2024-02-05T06:41:00Z</dcterms:created>
  <dcterms:modified xsi:type="dcterms:W3CDTF">2024-02-05T06:43:00Z</dcterms:modified>
</cp:coreProperties>
</file>